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28DCE0D4"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6E6ACF">
        <w:rPr>
          <w:rFonts w:ascii="Times New Roman" w:eastAsia="Times New Roman" w:hAnsi="Times New Roman" w:cs="Times New Roman"/>
          <w:sz w:val="24"/>
          <w:szCs w:val="24"/>
        </w:rPr>
        <w:t>Ian Groetsch</w:t>
      </w:r>
      <w:r w:rsidR="00607086">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03B1322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r w:rsidR="00B52332">
        <w:rPr>
          <w:rFonts w:ascii="Times New Roman" w:eastAsia="Times New Roman" w:hAnsi="Times New Roman" w:cs="Times New Roman"/>
          <w:sz w:val="24"/>
          <w:szCs w:val="24"/>
        </w:rPr>
        <w:t xml:space="preserve"> </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24F8BFC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262C3A">
        <w:rPr>
          <w:rFonts w:ascii="Times New Roman" w:eastAsia="Times New Roman" w:hAnsi="Times New Roman" w:cs="Times New Roman"/>
          <w:sz w:val="24"/>
          <w:szCs w:val="24"/>
        </w:rPr>
        <w:t>September 28</w:t>
      </w:r>
      <w:r w:rsidRPr="003E3FA5">
        <w:rPr>
          <w:rFonts w:ascii="Times New Roman" w:eastAsia="Times New Roman" w:hAnsi="Times New Roman" w:cs="Times New Roman"/>
          <w:sz w:val="24"/>
          <w:szCs w:val="24"/>
        </w:rPr>
        <w:t>, 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2430D8CD" w14:textId="13B15CE0" w:rsidR="003E3FA5" w:rsidRDefault="003E3FA5" w:rsidP="005233CE">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5233CE" w:rsidRPr="00147CE5">
        <w:rPr>
          <w:rFonts w:ascii="Times New Roman" w:eastAsia="Times New Roman" w:hAnsi="Times New Roman" w:cs="Times New Roman"/>
          <w:bCs/>
          <w:sz w:val="24"/>
          <w:szCs w:val="24"/>
        </w:rPr>
        <w:t xml:space="preserve">Docket No. </w:t>
      </w:r>
      <w:r w:rsidR="005233CE">
        <w:rPr>
          <w:rFonts w:ascii="Times New Roman" w:eastAsia="Times New Roman" w:hAnsi="Times New Roman" w:cs="Times New Roman"/>
          <w:bCs/>
          <w:iCs/>
          <w:sz w:val="24"/>
          <w:szCs w:val="24"/>
        </w:rPr>
        <w:t>52852</w:t>
      </w:r>
      <w:r w:rsidR="005233CE" w:rsidRPr="00147CE5">
        <w:rPr>
          <w:rFonts w:ascii="Times New Roman" w:eastAsia="Times New Roman" w:hAnsi="Times New Roman" w:cs="Times New Roman"/>
          <w:bCs/>
          <w:i/>
          <w:iCs/>
          <w:sz w:val="24"/>
          <w:szCs w:val="24"/>
        </w:rPr>
        <w:t xml:space="preserve"> – </w:t>
      </w:r>
      <w:bookmarkEnd w:id="0"/>
      <w:r w:rsidR="005233CE" w:rsidRPr="00147CE5">
        <w:rPr>
          <w:rFonts w:ascii="Times New Roman" w:eastAsia="Times New Roman" w:hAnsi="Times New Roman" w:cs="Times New Roman"/>
          <w:bCs/>
          <w:i/>
          <w:iCs/>
          <w:sz w:val="24"/>
          <w:szCs w:val="24"/>
        </w:rPr>
        <w:t>Application of</w:t>
      </w:r>
      <w:r w:rsidR="005233CE">
        <w:rPr>
          <w:rFonts w:ascii="Times New Roman" w:eastAsia="Times New Roman" w:hAnsi="Times New Roman" w:cs="Times New Roman"/>
          <w:bCs/>
          <w:i/>
          <w:iCs/>
          <w:sz w:val="24"/>
          <w:szCs w:val="24"/>
        </w:rPr>
        <w:t xml:space="preserve"> Terra Southwest, Inc. and Undine Development, LLC </w:t>
      </w:r>
      <w:r w:rsidR="005233CE" w:rsidRPr="00147CE5">
        <w:rPr>
          <w:rFonts w:ascii="Times New Roman" w:eastAsia="Times New Roman" w:hAnsi="Times New Roman" w:cs="Times New Roman"/>
          <w:bCs/>
          <w:i/>
          <w:iCs/>
          <w:sz w:val="24"/>
          <w:szCs w:val="24"/>
        </w:rPr>
        <w:t xml:space="preserve">for Sale, Transfer, or Merger of Facilities and Certificate Rights in </w:t>
      </w:r>
      <w:r w:rsidR="005233CE">
        <w:rPr>
          <w:rFonts w:ascii="Times New Roman" w:eastAsia="Times New Roman" w:hAnsi="Times New Roman" w:cs="Times New Roman"/>
          <w:bCs/>
          <w:i/>
          <w:iCs/>
          <w:sz w:val="24"/>
          <w:szCs w:val="24"/>
        </w:rPr>
        <w:t>Denton County</w:t>
      </w:r>
    </w:p>
    <w:p w14:paraId="269F0F35" w14:textId="6804618E" w:rsidR="00186B52" w:rsidRPr="00EF57BA" w:rsidRDefault="00186B52" w:rsidP="00EF57BA">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sidRPr="00234915">
        <w:rPr>
          <w:rFonts w:ascii="Times New Roman" w:eastAsia="Times New Roman" w:hAnsi="Times New Roman" w:cs="Times New Roman"/>
          <w:b/>
          <w:bCs/>
          <w:sz w:val="24"/>
          <w:szCs w:val="24"/>
        </w:rPr>
        <w:t>Introduction</w:t>
      </w:r>
    </w:p>
    <w:p w14:paraId="4C475C57" w14:textId="047D8D79" w:rsidR="00B078F0" w:rsidRDefault="005233CE" w:rsidP="00F31861">
      <w:pPr>
        <w:spacing w:after="120" w:line="360" w:lineRule="auto"/>
        <w:ind w:firstLine="720"/>
        <w:jc w:val="both"/>
        <w:rPr>
          <w:rFonts w:ascii="Times New Roman" w:eastAsia="Times New Roman" w:hAnsi="Times New Roman" w:cs="Times New Roman"/>
          <w:sz w:val="24"/>
          <w:szCs w:val="24"/>
        </w:rPr>
      </w:pPr>
      <w:r w:rsidRPr="005233CE">
        <w:rPr>
          <w:rFonts w:ascii="Times New Roman" w:eastAsia="Times New Roman" w:hAnsi="Times New Roman" w:cs="Times New Roman"/>
          <w:sz w:val="24"/>
          <w:szCs w:val="24"/>
        </w:rPr>
        <w:t xml:space="preserve">On November 16, 2021, Undine Development, LLC., CCN No. 12407, and Terra Southwest, Inc., CCN No. 11608, filed an application for the sale and transfer of facilities and certificate rights in Denton County under the provisions of Texas Water Code § 13.301 and 16 Texas Administrative Code § 24.239. </w:t>
      </w:r>
    </w:p>
    <w:p w14:paraId="2EF8EAF8" w14:textId="1BC6D7C8" w:rsidR="00186B52" w:rsidRDefault="00234915" w:rsidP="00EF3F05">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TWC</w:t>
      </w:r>
      <w:r w:rsidRPr="00B078F0">
        <w:rPr>
          <w:rFonts w:ascii="Times New Roman" w:eastAsia="Times New Roman" w:hAnsi="Times New Roman" w:cs="Times New Roman"/>
          <w:sz w:val="24"/>
          <w:szCs w:val="24"/>
        </w:rPr>
        <w:t xml:space="preserve"> § 13.301</w:t>
      </w:r>
      <w:r>
        <w:rPr>
          <w:rFonts w:ascii="Times New Roman" w:eastAsia="Times New Roman" w:hAnsi="Times New Roman" w:cs="Times New Roman"/>
          <w:sz w:val="24"/>
          <w:szCs w:val="24"/>
        </w:rPr>
        <w:t>(e)(2)</w:t>
      </w:r>
      <w:r w:rsidR="0038076D">
        <w:rPr>
          <w:rFonts w:ascii="Times New Roman" w:eastAsia="Times New Roman" w:hAnsi="Times New Roman" w:cs="Times New Roman"/>
          <w:sz w:val="24"/>
          <w:szCs w:val="24"/>
        </w:rPr>
        <w:t xml:space="preserve"> and 1</w:t>
      </w:r>
      <w:r w:rsidR="0038076D" w:rsidRPr="0038076D">
        <w:rPr>
          <w:rFonts w:ascii="Times New Roman" w:eastAsia="Times New Roman" w:hAnsi="Times New Roman" w:cs="Times New Roman"/>
          <w:sz w:val="24"/>
          <w:szCs w:val="24"/>
        </w:rPr>
        <w:t>6 TAC § 24</w:t>
      </w:r>
      <w:r w:rsidR="0038076D">
        <w:rPr>
          <w:rFonts w:ascii="Times New Roman" w:eastAsia="Times New Roman" w:hAnsi="Times New Roman" w:cs="Times New Roman"/>
          <w:sz w:val="24"/>
          <w:szCs w:val="24"/>
        </w:rPr>
        <w:t xml:space="preserve">.239(h)(2) </w:t>
      </w:r>
      <w:r w:rsidR="009E2F28">
        <w:rPr>
          <w:rFonts w:ascii="Times New Roman" w:eastAsia="Times New Roman" w:hAnsi="Times New Roman" w:cs="Times New Roman"/>
          <w:sz w:val="24"/>
          <w:szCs w:val="24"/>
        </w:rPr>
        <w:t>require consideration of</w:t>
      </w:r>
      <w:r>
        <w:rPr>
          <w:rFonts w:ascii="Times New Roman" w:eastAsia="Times New Roman" w:hAnsi="Times New Roman" w:cs="Times New Roman"/>
          <w:sz w:val="24"/>
          <w:szCs w:val="24"/>
        </w:rPr>
        <w:t xml:space="preserve"> the </w:t>
      </w:r>
      <w:r w:rsidR="00186B52">
        <w:rPr>
          <w:rFonts w:ascii="Times New Roman" w:eastAsia="Times New Roman" w:hAnsi="Times New Roman" w:cs="Times New Roman"/>
          <w:sz w:val="24"/>
          <w:szCs w:val="24"/>
        </w:rPr>
        <w:t xml:space="preserve">financial capability of the acquiring entities </w:t>
      </w:r>
      <w:r w:rsidR="0063674A">
        <w:rPr>
          <w:rFonts w:ascii="Times New Roman" w:eastAsia="Times New Roman" w:hAnsi="Times New Roman" w:cs="Times New Roman"/>
          <w:sz w:val="24"/>
          <w:szCs w:val="24"/>
        </w:rPr>
        <w:t>to provide</w:t>
      </w:r>
      <w:r w:rsidR="00186B52" w:rsidRPr="00186B52">
        <w:rPr>
          <w:rFonts w:ascii="Times New Roman" w:eastAsia="Times New Roman" w:hAnsi="Times New Roman" w:cs="Times New Roman"/>
          <w:sz w:val="24"/>
          <w:szCs w:val="24"/>
        </w:rPr>
        <w:t xml:space="preserve"> continuous and adequate service to the service area being acquired and to any areas currently certificated to the </w:t>
      </w:r>
      <w:r w:rsidR="0038076D">
        <w:rPr>
          <w:rFonts w:ascii="Times New Roman" w:eastAsia="Times New Roman" w:hAnsi="Times New Roman" w:cs="Times New Roman"/>
          <w:sz w:val="24"/>
          <w:szCs w:val="24"/>
        </w:rPr>
        <w:t>acquiring entities</w:t>
      </w:r>
      <w:r w:rsidR="00186B52" w:rsidRPr="00186B52">
        <w:rPr>
          <w:rFonts w:ascii="Times New Roman" w:eastAsia="Times New Roman" w:hAnsi="Times New Roman" w:cs="Times New Roman"/>
          <w:sz w:val="24"/>
          <w:szCs w:val="24"/>
        </w:rPr>
        <w:t>;</w:t>
      </w:r>
      <w:r w:rsidR="0038076D" w:rsidRPr="0038076D">
        <w:rPr>
          <w:rFonts w:ascii="Times New Roman" w:eastAsia="Times New Roman" w:hAnsi="Times New Roman" w:cs="Times New Roman"/>
          <w:sz w:val="24"/>
          <w:szCs w:val="24"/>
        </w:rPr>
        <w:t xml:space="preserve"> </w:t>
      </w:r>
      <w:bookmarkStart w:id="1" w:name="_Hlk107333978"/>
      <w:r w:rsidR="007C2EF0">
        <w:rPr>
          <w:rFonts w:ascii="Times New Roman" w:eastAsia="Times New Roman" w:hAnsi="Times New Roman" w:cs="Times New Roman"/>
          <w:sz w:val="24"/>
          <w:szCs w:val="24"/>
        </w:rPr>
        <w:t>TWC</w:t>
      </w:r>
      <w:r w:rsidR="007C2EF0" w:rsidRPr="00B078F0">
        <w:rPr>
          <w:rFonts w:ascii="Times New Roman" w:eastAsia="Times New Roman" w:hAnsi="Times New Roman" w:cs="Times New Roman"/>
          <w:sz w:val="24"/>
          <w:szCs w:val="24"/>
        </w:rPr>
        <w:t xml:space="preserve"> § 13.</w:t>
      </w:r>
      <w:bookmarkEnd w:id="1"/>
      <w:r w:rsidR="007C2EF0">
        <w:rPr>
          <w:rFonts w:ascii="Times New Roman" w:eastAsia="Times New Roman" w:hAnsi="Times New Roman" w:cs="Times New Roman"/>
          <w:sz w:val="24"/>
          <w:szCs w:val="24"/>
        </w:rPr>
        <w:t xml:space="preserve">246(c)(6) </w:t>
      </w:r>
      <w:r w:rsidR="009E2F28">
        <w:rPr>
          <w:rFonts w:ascii="Times New Roman" w:eastAsia="Times New Roman" w:hAnsi="Times New Roman" w:cs="Times New Roman"/>
          <w:sz w:val="24"/>
          <w:szCs w:val="24"/>
        </w:rPr>
        <w:t>requires consideration of</w:t>
      </w:r>
      <w:r w:rsidR="007C2EF0" w:rsidRPr="0038076D">
        <w:t xml:space="preserve"> </w:t>
      </w:r>
      <w:r w:rsidR="007C2EF0" w:rsidRPr="0038076D">
        <w:rPr>
          <w:rFonts w:ascii="Times New Roman" w:eastAsia="Times New Roman" w:hAnsi="Times New Roman" w:cs="Times New Roman"/>
          <w:sz w:val="24"/>
          <w:szCs w:val="24"/>
        </w:rPr>
        <w:t xml:space="preserve">the financial ability of the </w:t>
      </w:r>
      <w:r w:rsidR="009E2F28">
        <w:rPr>
          <w:rFonts w:ascii="Times New Roman" w:eastAsia="Times New Roman" w:hAnsi="Times New Roman" w:cs="Times New Roman"/>
          <w:sz w:val="24"/>
          <w:szCs w:val="24"/>
        </w:rPr>
        <w:t>acquiring entities</w:t>
      </w:r>
      <w:r w:rsidR="007C2EF0" w:rsidRPr="0038076D">
        <w:rPr>
          <w:rFonts w:ascii="Times New Roman" w:eastAsia="Times New Roman" w:hAnsi="Times New Roman" w:cs="Times New Roman"/>
          <w:sz w:val="24"/>
          <w:szCs w:val="24"/>
        </w:rPr>
        <w:t xml:space="preserve"> to pay for the facilities necessary to provide continuous and adequate service</w:t>
      </w:r>
      <w:r w:rsidR="007C2EF0">
        <w:rPr>
          <w:rFonts w:ascii="Times New Roman" w:eastAsia="Times New Roman" w:hAnsi="Times New Roman" w:cs="Times New Roman"/>
          <w:sz w:val="24"/>
          <w:szCs w:val="24"/>
        </w:rPr>
        <w:t xml:space="preserve">; </w:t>
      </w:r>
      <w:r w:rsidR="0038076D">
        <w:rPr>
          <w:rFonts w:ascii="Times New Roman" w:eastAsia="Times New Roman" w:hAnsi="Times New Roman" w:cs="Times New Roman"/>
          <w:sz w:val="24"/>
          <w:szCs w:val="24"/>
        </w:rPr>
        <w:t>and TWC</w:t>
      </w:r>
      <w:r w:rsidR="0038076D" w:rsidRPr="00B078F0">
        <w:rPr>
          <w:rFonts w:ascii="Times New Roman" w:eastAsia="Times New Roman" w:hAnsi="Times New Roman" w:cs="Times New Roman"/>
          <w:sz w:val="24"/>
          <w:szCs w:val="24"/>
        </w:rPr>
        <w:t xml:space="preserve"> § 13.</w:t>
      </w:r>
      <w:r w:rsidR="0038076D">
        <w:rPr>
          <w:rFonts w:ascii="Times New Roman" w:eastAsia="Times New Roman" w:hAnsi="Times New Roman" w:cs="Times New Roman"/>
          <w:sz w:val="24"/>
          <w:szCs w:val="24"/>
        </w:rPr>
        <w:t>246(c)(6) and 1</w:t>
      </w:r>
      <w:r w:rsidR="0038076D" w:rsidRPr="0038076D">
        <w:rPr>
          <w:rFonts w:ascii="Times New Roman" w:eastAsia="Times New Roman" w:hAnsi="Times New Roman" w:cs="Times New Roman"/>
          <w:sz w:val="24"/>
          <w:szCs w:val="24"/>
        </w:rPr>
        <w:t>6 TAC § 24</w:t>
      </w:r>
      <w:r w:rsidR="0038076D">
        <w:rPr>
          <w:rFonts w:ascii="Times New Roman" w:eastAsia="Times New Roman" w:hAnsi="Times New Roman" w:cs="Times New Roman"/>
          <w:sz w:val="24"/>
          <w:szCs w:val="24"/>
        </w:rPr>
        <w:t>.239(h)(5)(F)</w:t>
      </w:r>
      <w:r w:rsidR="007C2EF0">
        <w:rPr>
          <w:rFonts w:ascii="Times New Roman" w:eastAsia="Times New Roman" w:hAnsi="Times New Roman" w:cs="Times New Roman"/>
          <w:sz w:val="24"/>
          <w:szCs w:val="24"/>
        </w:rPr>
        <w:t xml:space="preserve"> </w:t>
      </w:r>
      <w:r w:rsidR="009E2F28">
        <w:rPr>
          <w:rFonts w:ascii="Times New Roman" w:eastAsia="Times New Roman" w:hAnsi="Times New Roman" w:cs="Times New Roman"/>
          <w:sz w:val="24"/>
          <w:szCs w:val="24"/>
        </w:rPr>
        <w:t xml:space="preserve">require consideration of </w:t>
      </w:r>
      <w:r w:rsidR="0038076D" w:rsidRPr="0038076D">
        <w:rPr>
          <w:rFonts w:ascii="Times New Roman" w:eastAsia="Times New Roman" w:hAnsi="Times New Roman" w:cs="Times New Roman"/>
          <w:sz w:val="24"/>
          <w:szCs w:val="24"/>
        </w:rPr>
        <w:t>the financial stability of th</w:t>
      </w:r>
      <w:r w:rsidR="009E2F28">
        <w:rPr>
          <w:rFonts w:ascii="Times New Roman" w:eastAsia="Times New Roman" w:hAnsi="Times New Roman" w:cs="Times New Roman"/>
          <w:sz w:val="24"/>
          <w:szCs w:val="24"/>
        </w:rPr>
        <w:t>e acquiring entities</w:t>
      </w:r>
      <w:r w:rsidR="0038076D" w:rsidRPr="0038076D">
        <w:rPr>
          <w:rFonts w:ascii="Times New Roman" w:eastAsia="Times New Roman" w:hAnsi="Times New Roman" w:cs="Times New Roman"/>
          <w:sz w:val="24"/>
          <w:szCs w:val="24"/>
        </w:rPr>
        <w:t xml:space="preserve">, including, if applicable, the adequacy of the </w:t>
      </w:r>
      <w:r w:rsidR="009E2F28">
        <w:rPr>
          <w:rFonts w:ascii="Times New Roman" w:eastAsia="Times New Roman" w:hAnsi="Times New Roman" w:cs="Times New Roman"/>
          <w:sz w:val="24"/>
          <w:szCs w:val="24"/>
        </w:rPr>
        <w:t>acquiring</w:t>
      </w:r>
      <w:r w:rsidR="0038076D" w:rsidRPr="0038076D">
        <w:rPr>
          <w:rFonts w:ascii="Times New Roman" w:eastAsia="Times New Roman" w:hAnsi="Times New Roman" w:cs="Times New Roman"/>
          <w:sz w:val="24"/>
          <w:szCs w:val="24"/>
        </w:rPr>
        <w:t xml:space="preserve"> </w:t>
      </w:r>
      <w:r w:rsidR="009E2F28">
        <w:rPr>
          <w:rFonts w:ascii="Times New Roman" w:eastAsia="Times New Roman" w:hAnsi="Times New Roman" w:cs="Times New Roman"/>
          <w:sz w:val="24"/>
          <w:szCs w:val="24"/>
        </w:rPr>
        <w:t xml:space="preserve">entities’ </w:t>
      </w:r>
      <w:r w:rsidR="0038076D" w:rsidRPr="0038076D">
        <w:rPr>
          <w:rFonts w:ascii="Times New Roman" w:eastAsia="Times New Roman" w:hAnsi="Times New Roman" w:cs="Times New Roman"/>
          <w:sz w:val="24"/>
          <w:szCs w:val="24"/>
        </w:rPr>
        <w:t>debt-equity ratio</w:t>
      </w:r>
      <w:r w:rsidR="009E2F28">
        <w:rPr>
          <w:rFonts w:ascii="Times New Roman" w:eastAsia="Times New Roman" w:hAnsi="Times New Roman" w:cs="Times New Roman"/>
          <w:sz w:val="24"/>
          <w:szCs w:val="24"/>
        </w:rPr>
        <w:t xml:space="preserve">s. </w:t>
      </w:r>
      <w:r w:rsidR="00920A97">
        <w:rPr>
          <w:rFonts w:ascii="Times New Roman" w:eastAsia="Times New Roman" w:hAnsi="Times New Roman" w:cs="Times New Roman"/>
          <w:sz w:val="24"/>
          <w:szCs w:val="24"/>
        </w:rPr>
        <w:t xml:space="preserve"> </w:t>
      </w:r>
      <w:r w:rsidR="009E2F28">
        <w:rPr>
          <w:rFonts w:ascii="Times New Roman" w:eastAsia="Times New Roman" w:hAnsi="Times New Roman" w:cs="Times New Roman"/>
          <w:sz w:val="24"/>
          <w:szCs w:val="24"/>
        </w:rPr>
        <w:t xml:space="preserve">These issues are addressed by </w:t>
      </w:r>
      <w:bookmarkStart w:id="2" w:name="_Hlk107331092"/>
      <w:r w:rsidR="009E2F28" w:rsidRPr="00376E5F">
        <w:rPr>
          <w:rFonts w:ascii="Times New Roman" w:eastAsia="Times New Roman" w:hAnsi="Times New Roman" w:cs="Times New Roman"/>
          <w:sz w:val="24"/>
          <w:szCs w:val="24"/>
        </w:rPr>
        <w:t xml:space="preserve">16 </w:t>
      </w:r>
      <w:r w:rsidR="009E2F28" w:rsidRPr="00973928">
        <w:rPr>
          <w:rFonts w:ascii="Times New Roman" w:eastAsia="Times New Roman" w:hAnsi="Times New Roman" w:cs="Times New Roman"/>
          <w:sz w:val="24"/>
          <w:szCs w:val="24"/>
        </w:rPr>
        <w:t>TAC § 24.11</w:t>
      </w:r>
      <w:bookmarkEnd w:id="2"/>
      <w:r w:rsidR="009E2F28">
        <w:rPr>
          <w:rFonts w:ascii="Times New Roman" w:eastAsia="Times New Roman" w:hAnsi="Times New Roman" w:cs="Times New Roman"/>
          <w:sz w:val="24"/>
          <w:szCs w:val="24"/>
        </w:rPr>
        <w:t xml:space="preserve">, which states in subsection (a) that the section </w:t>
      </w:r>
      <w:r w:rsidR="009E2F28" w:rsidRPr="009E2F28">
        <w:rPr>
          <w:rFonts w:ascii="Times New Roman" w:eastAsia="Times New Roman" w:hAnsi="Times New Roman" w:cs="Times New Roman"/>
          <w:sz w:val="24"/>
          <w:szCs w:val="24"/>
        </w:rPr>
        <w:t>establishes criteria to demonstrate that an owner or operator of a retail public utility has the financial resources to operate and manage the utility and to provide continuous and adequate</w:t>
      </w:r>
      <w:r w:rsidR="009E2F28">
        <w:rPr>
          <w:rFonts w:ascii="Times New Roman" w:eastAsia="Times New Roman" w:hAnsi="Times New Roman" w:cs="Times New Roman"/>
          <w:sz w:val="24"/>
          <w:szCs w:val="24"/>
        </w:rPr>
        <w:t xml:space="preserve"> </w:t>
      </w:r>
      <w:r w:rsidR="009E2F28" w:rsidRPr="009E2F28">
        <w:rPr>
          <w:rFonts w:ascii="Times New Roman" w:eastAsia="Times New Roman" w:hAnsi="Times New Roman" w:cs="Times New Roman"/>
          <w:sz w:val="24"/>
          <w:szCs w:val="24"/>
        </w:rPr>
        <w:t>service to the current and proposed utility service area</w:t>
      </w:r>
      <w:r w:rsidR="009E2F28">
        <w:rPr>
          <w:rFonts w:ascii="Times New Roman" w:eastAsia="Times New Roman" w:hAnsi="Times New Roman" w:cs="Times New Roman"/>
          <w:sz w:val="24"/>
          <w:szCs w:val="24"/>
        </w:rPr>
        <w:t>.</w:t>
      </w:r>
      <w:r w:rsidR="00EF3F05">
        <w:rPr>
          <w:rFonts w:ascii="Times New Roman" w:eastAsia="Times New Roman" w:hAnsi="Times New Roman" w:cs="Times New Roman"/>
          <w:sz w:val="24"/>
          <w:szCs w:val="24"/>
        </w:rPr>
        <w:t xml:space="preserve">  Subsection (b) states that the section </w:t>
      </w:r>
      <w:r w:rsidR="00EF3F05" w:rsidRPr="00EF3F05">
        <w:rPr>
          <w:rFonts w:ascii="Times New Roman" w:eastAsia="Times New Roman" w:hAnsi="Times New Roman" w:cs="Times New Roman"/>
          <w:sz w:val="24"/>
          <w:szCs w:val="24"/>
        </w:rPr>
        <w:t xml:space="preserve">applies to new and existing owners or operators of retail public utilities that are required to provide financial assurance under </w:t>
      </w:r>
      <w:r w:rsidR="00EF3F05">
        <w:rPr>
          <w:rFonts w:ascii="Times New Roman" w:eastAsia="Times New Roman" w:hAnsi="Times New Roman" w:cs="Times New Roman"/>
          <w:sz w:val="24"/>
          <w:szCs w:val="24"/>
        </w:rPr>
        <w:t>TAC Chapter 16.</w:t>
      </w:r>
      <w:r w:rsidR="00060609">
        <w:rPr>
          <w:rFonts w:ascii="Times New Roman" w:eastAsia="Times New Roman" w:hAnsi="Times New Roman" w:cs="Times New Roman"/>
          <w:sz w:val="24"/>
          <w:szCs w:val="24"/>
        </w:rPr>
        <w:t xml:space="preserve">  Furthermore, subsection (c) states that financial assurance must be demonstrated by </w:t>
      </w:r>
      <w:r w:rsidR="00060609">
        <w:rPr>
          <w:rFonts w:ascii="Times New Roman" w:eastAsia="Times New Roman" w:hAnsi="Times New Roman" w:cs="Times New Roman"/>
          <w:sz w:val="24"/>
          <w:szCs w:val="24"/>
        </w:rPr>
        <w:lastRenderedPageBreak/>
        <w:t>compliance with subsection (d) or (e) of the section, with subsection (d) providing for an irrevocable stand-by letter of credit and subsection (e) providing a financial test.</w:t>
      </w:r>
    </w:p>
    <w:p w14:paraId="035FFD1A" w14:textId="43B3EEB6" w:rsidR="00060609" w:rsidRDefault="00060609" w:rsidP="00EF57BA">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acquiring entities will submit information to demonstrate compliance with </w:t>
      </w:r>
      <w:bookmarkStart w:id="3" w:name="_Hlk107377932"/>
      <w:r>
        <w:rPr>
          <w:rFonts w:ascii="Times New Roman" w:eastAsia="Times New Roman" w:hAnsi="Times New Roman" w:cs="Times New Roman"/>
          <w:sz w:val="24"/>
          <w:szCs w:val="24"/>
        </w:rPr>
        <w:t xml:space="preserve">the financial test in </w:t>
      </w:r>
      <w:r w:rsidRPr="00060609">
        <w:rPr>
          <w:rFonts w:ascii="Times New Roman" w:eastAsia="Times New Roman" w:hAnsi="Times New Roman" w:cs="Times New Roman"/>
          <w:sz w:val="24"/>
          <w:szCs w:val="24"/>
        </w:rPr>
        <w:t>16 TAC § 24.11</w:t>
      </w:r>
      <w:r>
        <w:rPr>
          <w:rFonts w:ascii="Times New Roman" w:eastAsia="Times New Roman" w:hAnsi="Times New Roman" w:cs="Times New Roman"/>
          <w:sz w:val="24"/>
          <w:szCs w:val="24"/>
        </w:rPr>
        <w:t>(e)</w:t>
      </w:r>
      <w:bookmarkEnd w:id="3"/>
      <w:r>
        <w:rPr>
          <w:rFonts w:ascii="Times New Roman" w:eastAsia="Times New Roman" w:hAnsi="Times New Roman" w:cs="Times New Roman"/>
          <w:sz w:val="24"/>
          <w:szCs w:val="24"/>
        </w:rPr>
        <w:t xml:space="preserve">.  Paragraph (1) states that an owner or operator </w:t>
      </w:r>
      <w:r w:rsidRPr="00060609">
        <w:rPr>
          <w:rFonts w:ascii="Times New Roman" w:eastAsia="Times New Roman" w:hAnsi="Times New Roman" w:cs="Times New Roman"/>
          <w:sz w:val="24"/>
          <w:szCs w:val="24"/>
        </w:rPr>
        <w:t>may demonstrate financial assurance by satisfying the leverage and operations tests that conform to the requirements of th</w:t>
      </w:r>
      <w:r w:rsidR="00EC1E0E">
        <w:rPr>
          <w:rFonts w:ascii="Times New Roman" w:eastAsia="Times New Roman" w:hAnsi="Times New Roman" w:cs="Times New Roman"/>
          <w:sz w:val="24"/>
          <w:szCs w:val="24"/>
        </w:rPr>
        <w:t>e</w:t>
      </w:r>
      <w:r w:rsidRPr="00060609">
        <w:rPr>
          <w:rFonts w:ascii="Times New Roman" w:eastAsia="Times New Roman" w:hAnsi="Times New Roman" w:cs="Times New Roman"/>
          <w:sz w:val="24"/>
          <w:szCs w:val="24"/>
        </w:rPr>
        <w:t xml:space="preserve"> section, unless the commission finds good</w:t>
      </w:r>
      <w:r>
        <w:rPr>
          <w:rFonts w:ascii="Times New Roman" w:eastAsia="Times New Roman" w:hAnsi="Times New Roman" w:cs="Times New Roman"/>
          <w:sz w:val="24"/>
          <w:szCs w:val="24"/>
        </w:rPr>
        <w:t xml:space="preserve"> </w:t>
      </w:r>
      <w:r w:rsidRPr="00060609">
        <w:rPr>
          <w:rFonts w:ascii="Times New Roman" w:eastAsia="Times New Roman" w:hAnsi="Times New Roman" w:cs="Times New Roman"/>
          <w:sz w:val="24"/>
          <w:szCs w:val="24"/>
        </w:rPr>
        <w:t>cause exists to require only one of these tests.</w:t>
      </w:r>
      <w:r w:rsidR="00EC1E0E">
        <w:rPr>
          <w:rFonts w:ascii="Times New Roman" w:eastAsia="Times New Roman" w:hAnsi="Times New Roman" w:cs="Times New Roman"/>
          <w:sz w:val="24"/>
          <w:szCs w:val="24"/>
        </w:rPr>
        <w:t xml:space="preserve">  Paragraph (4) requires as part of meeting these two tests that the owner or operator submit an affidavit meeting certain requirements and a copy of one of three types of financial information.</w:t>
      </w:r>
    </w:p>
    <w:p w14:paraId="21860D32" w14:textId="5387472B" w:rsidR="00060609" w:rsidRPr="00FC4C31" w:rsidRDefault="00060609" w:rsidP="00060609">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Leverage Test</w:t>
      </w:r>
    </w:p>
    <w:p w14:paraId="41095861" w14:textId="42D62EDA" w:rsidR="00E323E1" w:rsidRDefault="00E323E1" w:rsidP="00F94734">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F94734">
        <w:rPr>
          <w:rFonts w:ascii="Times New Roman" w:eastAsia="Times New Roman" w:hAnsi="Times New Roman" w:cs="Times New Roman"/>
          <w:sz w:val="24"/>
          <w:szCs w:val="24"/>
        </w:rPr>
        <w:t xml:space="preserve">The leverage test is in </w:t>
      </w:r>
      <w:r w:rsidR="00F94734" w:rsidRPr="00156FAF">
        <w:rPr>
          <w:rFonts w:ascii="Times New Roman" w:eastAsia="Times New Roman" w:hAnsi="Times New Roman" w:cs="Times New Roman"/>
          <w:sz w:val="24"/>
          <w:szCs w:val="24"/>
        </w:rPr>
        <w:t>16 TAC § 24.11(e)(2)</w:t>
      </w:r>
      <w:r w:rsidR="00F94734">
        <w:rPr>
          <w:rFonts w:ascii="Times New Roman" w:eastAsia="Times New Roman" w:hAnsi="Times New Roman" w:cs="Times New Roman"/>
          <w:sz w:val="24"/>
          <w:szCs w:val="24"/>
        </w:rPr>
        <w:t xml:space="preserve"> and requires the owner or operator to meet one or more of four criteria and subparagraph (E) allows the owner or operator to meet one or more of those four criteria by demonstrating </w:t>
      </w:r>
      <w:r w:rsidR="00F94734" w:rsidRPr="00F94734">
        <w:rPr>
          <w:rFonts w:ascii="Times New Roman" w:eastAsia="Times New Roman" w:hAnsi="Times New Roman" w:cs="Times New Roman"/>
          <w:sz w:val="24"/>
          <w:szCs w:val="24"/>
        </w:rPr>
        <w:t>that an affiliated interest is capable, available, and willing to cover temporary cash shortages</w:t>
      </w:r>
      <w:r w:rsidR="00F94734">
        <w:rPr>
          <w:rFonts w:ascii="Times New Roman" w:eastAsia="Times New Roman" w:hAnsi="Times New Roman" w:cs="Times New Roman"/>
          <w:sz w:val="24"/>
          <w:szCs w:val="24"/>
        </w:rPr>
        <w:t xml:space="preserve">. </w:t>
      </w:r>
      <w:r w:rsidR="009B73A8">
        <w:rPr>
          <w:rFonts w:ascii="Times New Roman" w:eastAsia="Times New Roman" w:hAnsi="Times New Roman" w:cs="Times New Roman"/>
          <w:sz w:val="24"/>
          <w:szCs w:val="24"/>
        </w:rPr>
        <w:t xml:space="preserve"> </w:t>
      </w:r>
      <w:r w:rsidR="00F50AB7">
        <w:rPr>
          <w:rFonts w:ascii="Times New Roman" w:eastAsia="Times New Roman" w:hAnsi="Times New Roman" w:cs="Times New Roman"/>
          <w:sz w:val="24"/>
          <w:szCs w:val="24"/>
        </w:rPr>
        <w:t xml:space="preserve">The </w:t>
      </w:r>
      <w:r w:rsidR="00D8513D">
        <w:rPr>
          <w:rFonts w:ascii="Times New Roman" w:eastAsia="Times New Roman" w:hAnsi="Times New Roman" w:cs="Times New Roman"/>
          <w:sz w:val="24"/>
          <w:szCs w:val="24"/>
        </w:rPr>
        <w:t>acquiring entities</w:t>
      </w:r>
      <w:r w:rsidR="00F50AB7">
        <w:rPr>
          <w:rFonts w:ascii="Times New Roman" w:eastAsia="Times New Roman" w:hAnsi="Times New Roman" w:cs="Times New Roman"/>
          <w:sz w:val="24"/>
          <w:szCs w:val="24"/>
        </w:rPr>
        <w:t xml:space="preserve"> will </w:t>
      </w:r>
      <w:r w:rsidR="00F94734">
        <w:rPr>
          <w:rFonts w:ascii="Times New Roman" w:eastAsia="Times New Roman" w:hAnsi="Times New Roman" w:cs="Times New Roman"/>
          <w:sz w:val="24"/>
          <w:szCs w:val="24"/>
        </w:rPr>
        <w:t>meet subparagraph (E) by filing</w:t>
      </w:r>
      <w:r>
        <w:rPr>
          <w:rFonts w:ascii="Times New Roman" w:eastAsia="Times New Roman" w:hAnsi="Times New Roman" w:cs="Times New Roman"/>
          <w:sz w:val="24"/>
          <w:szCs w:val="24"/>
        </w:rPr>
        <w:t xml:space="preserve"> a </w:t>
      </w:r>
      <w:r w:rsidR="00F94734">
        <w:rPr>
          <w:rFonts w:ascii="Times New Roman" w:eastAsia="Times New Roman" w:hAnsi="Times New Roman" w:cs="Times New Roman"/>
          <w:sz w:val="24"/>
          <w:szCs w:val="24"/>
        </w:rPr>
        <w:t>g</w:t>
      </w:r>
      <w:r>
        <w:rPr>
          <w:rFonts w:ascii="Times New Roman" w:eastAsia="Times New Roman" w:hAnsi="Times New Roman" w:cs="Times New Roman"/>
          <w:sz w:val="24"/>
          <w:szCs w:val="24"/>
        </w:rPr>
        <w:t xml:space="preserve">uaranty </w:t>
      </w:r>
      <w:r w:rsidR="00F94734">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greement between </w:t>
      </w:r>
      <w:r w:rsidR="00014503">
        <w:rPr>
          <w:rFonts w:ascii="Times New Roman" w:eastAsia="Times New Roman" w:hAnsi="Times New Roman" w:cs="Times New Roman"/>
          <w:sz w:val="24"/>
          <w:szCs w:val="24"/>
        </w:rPr>
        <w:t>Undine Development</w:t>
      </w:r>
      <w:r w:rsidR="00F50AB7">
        <w:rPr>
          <w:rFonts w:ascii="Times New Roman" w:eastAsia="Times New Roman" w:hAnsi="Times New Roman" w:cs="Times New Roman"/>
          <w:sz w:val="24"/>
          <w:szCs w:val="24"/>
        </w:rPr>
        <w:t xml:space="preserve">, LLC </w:t>
      </w:r>
      <w:r>
        <w:rPr>
          <w:rFonts w:ascii="Times New Roman" w:eastAsia="Times New Roman" w:hAnsi="Times New Roman" w:cs="Times New Roman"/>
          <w:sz w:val="24"/>
          <w:szCs w:val="24"/>
        </w:rPr>
        <w:t>and Undine Group, LLC</w:t>
      </w:r>
      <w:r w:rsidR="00F50AB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which state</w:t>
      </w:r>
      <w:r w:rsidR="00014503">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that Undine Group, LLC is capable, available, and willing to cover temporary cash shortages</w:t>
      </w:r>
      <w:r w:rsidR="00F76E07">
        <w:rPr>
          <w:rFonts w:ascii="Times New Roman" w:eastAsia="Times New Roman" w:hAnsi="Times New Roman" w:cs="Times New Roman"/>
          <w:sz w:val="24"/>
          <w:szCs w:val="24"/>
        </w:rPr>
        <w:t xml:space="preserve"> of the acquiring entities</w:t>
      </w:r>
      <w:r>
        <w:rPr>
          <w:rFonts w:ascii="Times New Roman" w:eastAsia="Times New Roman" w:hAnsi="Times New Roman" w:cs="Times New Roman"/>
          <w:sz w:val="24"/>
          <w:szCs w:val="24"/>
        </w:rPr>
        <w:t>.</w:t>
      </w:r>
    </w:p>
    <w:p w14:paraId="63473F0F" w14:textId="1CA77240" w:rsidR="00133D92" w:rsidRPr="00A36022" w:rsidRDefault="00F94734" w:rsidP="00F94734">
      <w:pPr>
        <w:widowControl w:val="0"/>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acquiring entities will meet </w:t>
      </w:r>
      <w:r w:rsidR="00142C3B">
        <w:rPr>
          <w:rFonts w:ascii="Times New Roman" w:eastAsia="Times New Roman" w:hAnsi="Times New Roman" w:cs="Times New Roman"/>
          <w:sz w:val="24"/>
          <w:szCs w:val="24"/>
        </w:rPr>
        <w:t xml:space="preserve">the criterion in </w:t>
      </w:r>
      <w:r w:rsidRPr="00156FAF">
        <w:rPr>
          <w:rFonts w:ascii="Times New Roman" w:eastAsia="Times New Roman" w:hAnsi="Times New Roman" w:cs="Times New Roman"/>
          <w:sz w:val="24"/>
          <w:szCs w:val="24"/>
        </w:rPr>
        <w:t>16 TAC § 24.11(e)(2)</w:t>
      </w:r>
      <w:r>
        <w:rPr>
          <w:rFonts w:ascii="Times New Roman" w:eastAsia="Times New Roman" w:hAnsi="Times New Roman" w:cs="Times New Roman"/>
          <w:sz w:val="24"/>
          <w:szCs w:val="24"/>
        </w:rPr>
        <w:t xml:space="preserve">(A), which requires that the </w:t>
      </w:r>
      <w:r w:rsidRPr="00F94734">
        <w:rPr>
          <w:rFonts w:ascii="Times New Roman" w:eastAsia="Times New Roman" w:hAnsi="Times New Roman" w:cs="Times New Roman"/>
          <w:sz w:val="24"/>
          <w:szCs w:val="24"/>
        </w:rPr>
        <w:t>owner or operator must have a debt</w:t>
      </w:r>
      <w:r w:rsidR="00920A97">
        <w:rPr>
          <w:rFonts w:ascii="Times New Roman" w:eastAsia="Times New Roman" w:hAnsi="Times New Roman" w:cs="Times New Roman"/>
          <w:sz w:val="24"/>
          <w:szCs w:val="24"/>
        </w:rPr>
        <w:t>-</w:t>
      </w:r>
      <w:r w:rsidRPr="00F94734">
        <w:rPr>
          <w:rFonts w:ascii="Times New Roman" w:eastAsia="Times New Roman" w:hAnsi="Times New Roman" w:cs="Times New Roman"/>
          <w:sz w:val="24"/>
          <w:szCs w:val="24"/>
        </w:rPr>
        <w:t>to</w:t>
      </w:r>
      <w:r w:rsidR="00920A97">
        <w:rPr>
          <w:rFonts w:ascii="Times New Roman" w:eastAsia="Times New Roman" w:hAnsi="Times New Roman" w:cs="Times New Roman"/>
          <w:sz w:val="24"/>
          <w:szCs w:val="24"/>
        </w:rPr>
        <w:t>-</w:t>
      </w:r>
      <w:r w:rsidRPr="00F94734">
        <w:rPr>
          <w:rFonts w:ascii="Times New Roman" w:eastAsia="Times New Roman" w:hAnsi="Times New Roman" w:cs="Times New Roman"/>
          <w:sz w:val="24"/>
          <w:szCs w:val="24"/>
        </w:rPr>
        <w:t>equity ratio of less than one, using long</w:t>
      </w:r>
      <w:r w:rsidR="00142C3B">
        <w:rPr>
          <w:rFonts w:ascii="Times New Roman" w:eastAsia="Times New Roman" w:hAnsi="Times New Roman" w:cs="Times New Roman"/>
          <w:sz w:val="24"/>
          <w:szCs w:val="24"/>
        </w:rPr>
        <w:t>-</w:t>
      </w:r>
      <w:r w:rsidRPr="00F94734">
        <w:rPr>
          <w:rFonts w:ascii="Times New Roman" w:eastAsia="Times New Roman" w:hAnsi="Times New Roman" w:cs="Times New Roman"/>
          <w:sz w:val="24"/>
          <w:szCs w:val="24"/>
        </w:rPr>
        <w:t>term debt and equity or net assets</w:t>
      </w:r>
      <w:r w:rsidR="00920A97">
        <w:rPr>
          <w:rFonts w:ascii="Times New Roman" w:eastAsia="Times New Roman" w:hAnsi="Times New Roman" w:cs="Times New Roman"/>
          <w:sz w:val="24"/>
          <w:szCs w:val="24"/>
        </w:rPr>
        <w:t>.</w:t>
      </w:r>
      <w:r w:rsidR="009B73A8">
        <w:rPr>
          <w:rFonts w:ascii="Times New Roman" w:eastAsia="Times New Roman" w:hAnsi="Times New Roman" w:cs="Times New Roman"/>
          <w:sz w:val="24"/>
          <w:szCs w:val="24"/>
        </w:rPr>
        <w:t xml:space="preserve">  F</w:t>
      </w:r>
      <w:r w:rsidR="00920A97">
        <w:rPr>
          <w:rFonts w:ascii="Times New Roman" w:eastAsia="Times New Roman" w:hAnsi="Times New Roman" w:cs="Times New Roman"/>
          <w:sz w:val="24"/>
          <w:szCs w:val="24"/>
        </w:rPr>
        <w:t xml:space="preserve">inancial statements of Undine Group, LLC </w:t>
      </w:r>
      <w:r w:rsidR="00EC1E0E">
        <w:rPr>
          <w:rFonts w:ascii="Times New Roman" w:eastAsia="Times New Roman" w:hAnsi="Times New Roman" w:cs="Times New Roman"/>
          <w:sz w:val="24"/>
          <w:szCs w:val="24"/>
        </w:rPr>
        <w:t xml:space="preserve">that comply with </w:t>
      </w:r>
      <w:r w:rsidR="00EC1E0E" w:rsidRPr="00156FAF">
        <w:rPr>
          <w:rFonts w:ascii="Times New Roman" w:eastAsia="Times New Roman" w:hAnsi="Times New Roman" w:cs="Times New Roman"/>
          <w:sz w:val="24"/>
          <w:szCs w:val="24"/>
        </w:rPr>
        <w:t>16 TAC § 24.11(e)</w:t>
      </w:r>
      <w:r w:rsidR="00EC1E0E">
        <w:rPr>
          <w:rFonts w:ascii="Times New Roman" w:eastAsia="Times New Roman" w:hAnsi="Times New Roman" w:cs="Times New Roman"/>
          <w:sz w:val="24"/>
          <w:szCs w:val="24"/>
        </w:rPr>
        <w:t>(4)(B)</w:t>
      </w:r>
      <w:r w:rsidR="002F140A">
        <w:rPr>
          <w:rFonts w:ascii="Times New Roman" w:eastAsia="Times New Roman" w:hAnsi="Times New Roman" w:cs="Times New Roman"/>
          <w:sz w:val="24"/>
          <w:szCs w:val="24"/>
        </w:rPr>
        <w:t>(</w:t>
      </w:r>
      <w:proofErr w:type="spellStart"/>
      <w:r w:rsidR="002F140A">
        <w:rPr>
          <w:rFonts w:ascii="Times New Roman" w:eastAsia="Times New Roman" w:hAnsi="Times New Roman" w:cs="Times New Roman"/>
          <w:sz w:val="24"/>
          <w:szCs w:val="24"/>
        </w:rPr>
        <w:t>i</w:t>
      </w:r>
      <w:proofErr w:type="spellEnd"/>
      <w:r w:rsidR="002F140A">
        <w:rPr>
          <w:rFonts w:ascii="Times New Roman" w:eastAsia="Times New Roman" w:hAnsi="Times New Roman" w:cs="Times New Roman"/>
          <w:sz w:val="24"/>
          <w:szCs w:val="24"/>
        </w:rPr>
        <w:t xml:space="preserve">) </w:t>
      </w:r>
      <w:r w:rsidR="00920A97">
        <w:rPr>
          <w:rFonts w:ascii="Times New Roman" w:eastAsia="Times New Roman" w:hAnsi="Times New Roman" w:cs="Times New Roman"/>
          <w:sz w:val="24"/>
          <w:szCs w:val="24"/>
        </w:rPr>
        <w:t>have been filed in the docket</w:t>
      </w:r>
      <w:r w:rsidR="00133D92" w:rsidRPr="00174B7C">
        <w:rPr>
          <w:rFonts w:ascii="Times New Roman" w:eastAsia="Times New Roman" w:hAnsi="Times New Roman" w:cs="Times New Roman"/>
          <w:sz w:val="24"/>
          <w:szCs w:val="24"/>
        </w:rPr>
        <w:t>.</w:t>
      </w:r>
      <w:r w:rsidR="00920A97" w:rsidRPr="00A36022">
        <w:rPr>
          <w:rStyle w:val="FootnoteReference"/>
          <w:rFonts w:ascii="Times New Roman" w:eastAsia="Times New Roman" w:hAnsi="Times New Roman" w:cs="Times New Roman"/>
          <w:sz w:val="24"/>
          <w:szCs w:val="24"/>
        </w:rPr>
        <w:footnoteReference w:id="1"/>
      </w:r>
      <w:r w:rsidR="00133D92" w:rsidRPr="00174B7C">
        <w:rPr>
          <w:rFonts w:ascii="Times New Roman" w:eastAsia="Times New Roman" w:hAnsi="Times New Roman" w:cs="Times New Roman"/>
          <w:sz w:val="24"/>
          <w:szCs w:val="24"/>
        </w:rPr>
        <w:t xml:space="preserve">  These financial statements contain an unqualified auditor’s opinion from </w:t>
      </w:r>
      <w:r w:rsidR="00607086">
        <w:rPr>
          <w:rFonts w:ascii="Times New Roman" w:eastAsia="Times New Roman" w:hAnsi="Times New Roman" w:cs="Times New Roman"/>
          <w:sz w:val="24"/>
          <w:szCs w:val="24"/>
        </w:rPr>
        <w:t>Plante &amp; Moran, PLLC</w:t>
      </w:r>
      <w:r w:rsidR="00174B7C" w:rsidRPr="00174B7C">
        <w:rPr>
          <w:rFonts w:ascii="Times New Roman" w:eastAsia="Times New Roman" w:hAnsi="Times New Roman" w:cs="Times New Roman"/>
          <w:sz w:val="24"/>
          <w:szCs w:val="24"/>
        </w:rPr>
        <w:t xml:space="preserve"> </w:t>
      </w:r>
      <w:r w:rsidR="00133D92" w:rsidRPr="00174B7C">
        <w:rPr>
          <w:rFonts w:ascii="Times New Roman" w:eastAsia="Times New Roman" w:hAnsi="Times New Roman" w:cs="Times New Roman"/>
          <w:sz w:val="24"/>
          <w:szCs w:val="24"/>
        </w:rPr>
        <w:t xml:space="preserve">stating that the financial statements present fairly, in all material respects, the financial position of </w:t>
      </w:r>
      <w:r w:rsidR="00607086">
        <w:rPr>
          <w:rFonts w:ascii="Times New Roman" w:eastAsia="Times New Roman" w:hAnsi="Times New Roman" w:cs="Times New Roman"/>
          <w:sz w:val="24"/>
          <w:szCs w:val="24"/>
        </w:rPr>
        <w:t>Undine</w:t>
      </w:r>
      <w:r w:rsidR="00156FAF">
        <w:rPr>
          <w:rFonts w:ascii="Times New Roman" w:eastAsia="Times New Roman" w:hAnsi="Times New Roman" w:cs="Times New Roman"/>
          <w:sz w:val="24"/>
          <w:szCs w:val="24"/>
        </w:rPr>
        <w:t xml:space="preserve"> Group, LLC</w:t>
      </w:r>
      <w:r w:rsidR="00133D92" w:rsidRPr="00174B7C">
        <w:rPr>
          <w:rFonts w:ascii="Times New Roman" w:eastAsia="Times New Roman" w:hAnsi="Times New Roman" w:cs="Times New Roman"/>
          <w:sz w:val="24"/>
          <w:szCs w:val="24"/>
        </w:rPr>
        <w:t xml:space="preserve"> as of </w:t>
      </w:r>
      <w:r w:rsidR="00BA5465" w:rsidRPr="00A36022">
        <w:rPr>
          <w:rFonts w:ascii="Times New Roman" w:eastAsia="Times New Roman" w:hAnsi="Times New Roman" w:cs="Times New Roman"/>
          <w:sz w:val="24"/>
          <w:szCs w:val="24"/>
        </w:rPr>
        <w:t xml:space="preserve">December 31, </w:t>
      </w:r>
      <w:r w:rsidR="00607086" w:rsidRPr="00A36022">
        <w:rPr>
          <w:rFonts w:ascii="Times New Roman" w:eastAsia="Times New Roman" w:hAnsi="Times New Roman" w:cs="Times New Roman"/>
          <w:sz w:val="24"/>
          <w:szCs w:val="24"/>
        </w:rPr>
        <w:t>2020</w:t>
      </w:r>
      <w:r w:rsidR="00BA5465" w:rsidRPr="00A36022">
        <w:rPr>
          <w:rFonts w:ascii="Times New Roman" w:eastAsia="Times New Roman" w:hAnsi="Times New Roman" w:cs="Times New Roman"/>
          <w:sz w:val="24"/>
          <w:szCs w:val="24"/>
        </w:rPr>
        <w:t>.</w:t>
      </w:r>
      <w:r w:rsidR="00607086" w:rsidRPr="00A36022">
        <w:rPr>
          <w:rStyle w:val="FootnoteReference"/>
          <w:rFonts w:ascii="Times New Roman" w:eastAsia="Times New Roman" w:hAnsi="Times New Roman" w:cs="Times New Roman"/>
          <w:sz w:val="24"/>
          <w:szCs w:val="24"/>
        </w:rPr>
        <w:footnoteReference w:id="2"/>
      </w:r>
    </w:p>
    <w:p w14:paraId="20B5D911" w14:textId="78ADC6A4" w:rsidR="00133D92" w:rsidRPr="00B16545" w:rsidRDefault="00133D92" w:rsidP="00A42084">
      <w:pPr>
        <w:spacing w:after="120" w:line="360" w:lineRule="auto"/>
        <w:jc w:val="both"/>
        <w:rPr>
          <w:rFonts w:ascii="Times New Roman" w:eastAsia="Times New Roman" w:hAnsi="Times New Roman" w:cs="Times New Roman"/>
          <w:sz w:val="24"/>
          <w:szCs w:val="24"/>
        </w:rPr>
      </w:pPr>
      <w:r w:rsidRPr="00A36022">
        <w:rPr>
          <w:rFonts w:ascii="Times New Roman" w:eastAsia="Times New Roman" w:hAnsi="Times New Roman" w:cs="Times New Roman"/>
          <w:sz w:val="24"/>
          <w:szCs w:val="24"/>
        </w:rPr>
        <w:tab/>
        <w:t>Based upon my review of</w:t>
      </w:r>
      <w:r w:rsidR="00156FAF">
        <w:rPr>
          <w:rFonts w:ascii="Times New Roman" w:eastAsia="Times New Roman" w:hAnsi="Times New Roman" w:cs="Times New Roman"/>
          <w:sz w:val="24"/>
          <w:szCs w:val="24"/>
        </w:rPr>
        <w:t xml:space="preserve"> the </w:t>
      </w:r>
      <w:r w:rsidRPr="00A36022">
        <w:rPr>
          <w:rFonts w:ascii="Times New Roman" w:eastAsia="Times New Roman" w:hAnsi="Times New Roman" w:cs="Times New Roman"/>
          <w:sz w:val="24"/>
          <w:szCs w:val="24"/>
        </w:rPr>
        <w:t>financial statements</w:t>
      </w:r>
      <w:r w:rsidR="00156FAF">
        <w:rPr>
          <w:rFonts w:ascii="Times New Roman" w:eastAsia="Times New Roman" w:hAnsi="Times New Roman" w:cs="Times New Roman"/>
          <w:sz w:val="24"/>
          <w:szCs w:val="24"/>
        </w:rPr>
        <w:t xml:space="preserve"> </w:t>
      </w:r>
      <w:r w:rsidR="00F50AB7">
        <w:rPr>
          <w:rFonts w:ascii="Times New Roman" w:eastAsia="Times New Roman" w:hAnsi="Times New Roman" w:cs="Times New Roman"/>
          <w:sz w:val="24"/>
          <w:szCs w:val="24"/>
        </w:rPr>
        <w:t xml:space="preserve">of </w:t>
      </w:r>
      <w:r w:rsidR="00156FAF">
        <w:rPr>
          <w:rFonts w:ascii="Times New Roman" w:eastAsia="Times New Roman" w:hAnsi="Times New Roman" w:cs="Times New Roman"/>
          <w:sz w:val="24"/>
          <w:szCs w:val="24"/>
        </w:rPr>
        <w:t>Undine Group, LLC</w:t>
      </w:r>
      <w:r w:rsidR="00873CE1">
        <w:rPr>
          <w:rFonts w:ascii="Times New Roman" w:eastAsia="Times New Roman" w:hAnsi="Times New Roman" w:cs="Times New Roman"/>
          <w:sz w:val="24"/>
          <w:szCs w:val="24"/>
        </w:rPr>
        <w:t>,</w:t>
      </w:r>
      <w:r w:rsidRPr="00A36022">
        <w:rPr>
          <w:rFonts w:ascii="Times New Roman" w:eastAsia="Times New Roman" w:hAnsi="Times New Roman" w:cs="Times New Roman"/>
          <w:sz w:val="24"/>
          <w:szCs w:val="24"/>
        </w:rPr>
        <w:t xml:space="preserve"> I calculate</w:t>
      </w:r>
      <w:r w:rsidR="00D8513D">
        <w:rPr>
          <w:rFonts w:ascii="Times New Roman" w:eastAsia="Times New Roman" w:hAnsi="Times New Roman" w:cs="Times New Roman"/>
          <w:sz w:val="24"/>
          <w:szCs w:val="24"/>
        </w:rPr>
        <w:t>d</w:t>
      </w:r>
      <w:r w:rsidRPr="00A36022">
        <w:rPr>
          <w:rFonts w:ascii="Times New Roman" w:eastAsia="Times New Roman" w:hAnsi="Times New Roman" w:cs="Times New Roman"/>
          <w:sz w:val="24"/>
          <w:szCs w:val="24"/>
        </w:rPr>
        <w:t xml:space="preserve"> </w:t>
      </w:r>
      <w:r w:rsidR="00EC50BC" w:rsidRPr="00A36022">
        <w:rPr>
          <w:rFonts w:ascii="Times New Roman" w:eastAsia="Times New Roman" w:hAnsi="Times New Roman" w:cs="Times New Roman"/>
          <w:sz w:val="24"/>
          <w:szCs w:val="24"/>
        </w:rPr>
        <w:t>the debt-to-equity ratio</w:t>
      </w:r>
      <w:r w:rsidRPr="00A36022">
        <w:rPr>
          <w:rFonts w:ascii="Times New Roman" w:eastAsia="Times New Roman" w:hAnsi="Times New Roman" w:cs="Times New Roman"/>
          <w:sz w:val="24"/>
          <w:szCs w:val="24"/>
        </w:rPr>
        <w:t xml:space="preserve"> </w:t>
      </w:r>
      <w:r w:rsidR="00F50AB7">
        <w:rPr>
          <w:rFonts w:ascii="Times New Roman" w:eastAsia="Times New Roman" w:hAnsi="Times New Roman" w:cs="Times New Roman"/>
          <w:sz w:val="24"/>
          <w:szCs w:val="24"/>
        </w:rPr>
        <w:t xml:space="preserve">to be </w:t>
      </w:r>
      <w:r w:rsidRPr="00A36022">
        <w:rPr>
          <w:rFonts w:ascii="Times New Roman" w:eastAsia="Times New Roman" w:hAnsi="Times New Roman" w:cs="Times New Roman"/>
          <w:sz w:val="24"/>
          <w:szCs w:val="24"/>
        </w:rPr>
        <w:t xml:space="preserve">equal to </w:t>
      </w:r>
      <w:r w:rsidR="00EC50BC" w:rsidRPr="00A36022">
        <w:rPr>
          <w:rFonts w:ascii="Times New Roman" w:eastAsia="Times New Roman" w:hAnsi="Times New Roman" w:cs="Times New Roman"/>
          <w:sz w:val="24"/>
          <w:szCs w:val="24"/>
        </w:rPr>
        <w:t>0.</w:t>
      </w:r>
      <w:r w:rsidR="003521B1" w:rsidRPr="00A36022">
        <w:rPr>
          <w:rFonts w:ascii="Times New Roman" w:eastAsia="Times New Roman" w:hAnsi="Times New Roman" w:cs="Times New Roman"/>
          <w:sz w:val="24"/>
          <w:szCs w:val="24"/>
        </w:rPr>
        <w:t>18</w:t>
      </w:r>
      <w:r w:rsidR="00F2273A">
        <w:rPr>
          <w:rFonts w:ascii="Times New Roman" w:eastAsia="Times New Roman" w:hAnsi="Times New Roman" w:cs="Times New Roman"/>
          <w:sz w:val="24"/>
          <w:szCs w:val="24"/>
        </w:rPr>
        <w:t>.</w:t>
      </w:r>
      <w:r w:rsidR="002B55D4" w:rsidRPr="00A36022">
        <w:rPr>
          <w:rStyle w:val="FootnoteReference"/>
          <w:rFonts w:ascii="Times New Roman" w:eastAsia="Times New Roman" w:hAnsi="Times New Roman" w:cs="Times New Roman"/>
          <w:sz w:val="24"/>
          <w:szCs w:val="24"/>
        </w:rPr>
        <w:footnoteReference w:id="3"/>
      </w:r>
      <w:r w:rsidRPr="00EF57BA">
        <w:rPr>
          <w:rFonts w:ascii="Times New Roman" w:eastAsia="Times New Roman" w:hAnsi="Times New Roman" w:cs="Times New Roman"/>
          <w:sz w:val="24"/>
          <w:szCs w:val="24"/>
        </w:rPr>
        <w:t xml:space="preserve"> </w:t>
      </w:r>
      <w:r w:rsidR="009B73A8">
        <w:rPr>
          <w:rFonts w:ascii="Times New Roman" w:eastAsia="Times New Roman" w:hAnsi="Times New Roman" w:cs="Times New Roman"/>
          <w:sz w:val="24"/>
          <w:szCs w:val="24"/>
        </w:rPr>
        <w:t xml:space="preserve"> </w:t>
      </w:r>
      <w:r w:rsidRPr="00A36022">
        <w:rPr>
          <w:rFonts w:ascii="Times New Roman" w:eastAsia="Times New Roman" w:hAnsi="Times New Roman" w:cs="Times New Roman"/>
          <w:sz w:val="24"/>
          <w:szCs w:val="24"/>
        </w:rPr>
        <w:t xml:space="preserve">Because the ratio is </w:t>
      </w:r>
      <w:r w:rsidR="00B16545" w:rsidRPr="00A36022">
        <w:rPr>
          <w:rFonts w:ascii="Times New Roman" w:eastAsia="Times New Roman" w:hAnsi="Times New Roman" w:cs="Times New Roman"/>
          <w:sz w:val="24"/>
          <w:szCs w:val="24"/>
        </w:rPr>
        <w:t>less</w:t>
      </w:r>
      <w:r w:rsidRPr="00A36022">
        <w:rPr>
          <w:rFonts w:ascii="Times New Roman" w:eastAsia="Times New Roman" w:hAnsi="Times New Roman" w:cs="Times New Roman"/>
          <w:sz w:val="24"/>
          <w:szCs w:val="24"/>
        </w:rPr>
        <w:t xml:space="preserve"> than </w:t>
      </w:r>
      <w:r w:rsidR="007A52B3">
        <w:rPr>
          <w:rFonts w:ascii="Times New Roman" w:eastAsia="Times New Roman" w:hAnsi="Times New Roman" w:cs="Times New Roman"/>
          <w:sz w:val="24"/>
          <w:szCs w:val="24"/>
        </w:rPr>
        <w:t>one</w:t>
      </w:r>
      <w:r w:rsidRPr="00A36022">
        <w:rPr>
          <w:rFonts w:ascii="Times New Roman" w:eastAsia="Times New Roman" w:hAnsi="Times New Roman" w:cs="Times New Roman"/>
          <w:sz w:val="24"/>
          <w:szCs w:val="24"/>
        </w:rPr>
        <w:t xml:space="preserve">, </w:t>
      </w:r>
      <w:r w:rsidR="00607086" w:rsidRPr="00A36022">
        <w:rPr>
          <w:rFonts w:ascii="Times New Roman" w:eastAsia="Times New Roman" w:hAnsi="Times New Roman" w:cs="Times New Roman"/>
          <w:sz w:val="24"/>
          <w:szCs w:val="24"/>
        </w:rPr>
        <w:t>Undine</w:t>
      </w:r>
      <w:r w:rsidRPr="00A36022">
        <w:rPr>
          <w:rFonts w:ascii="Times New Roman" w:eastAsia="Times New Roman" w:hAnsi="Times New Roman" w:cs="Times New Roman"/>
          <w:sz w:val="24"/>
          <w:szCs w:val="24"/>
        </w:rPr>
        <w:t xml:space="preserve"> </w:t>
      </w:r>
      <w:r w:rsidR="00156FAF">
        <w:rPr>
          <w:rFonts w:ascii="Times New Roman" w:eastAsia="Times New Roman" w:hAnsi="Times New Roman" w:cs="Times New Roman"/>
          <w:sz w:val="24"/>
          <w:szCs w:val="24"/>
        </w:rPr>
        <w:t xml:space="preserve">Group, LLC </w:t>
      </w:r>
      <w:r w:rsidRPr="00A36022">
        <w:rPr>
          <w:rFonts w:ascii="Times New Roman" w:eastAsia="Times New Roman" w:hAnsi="Times New Roman" w:cs="Times New Roman"/>
          <w:sz w:val="24"/>
          <w:szCs w:val="24"/>
        </w:rPr>
        <w:t xml:space="preserve">meets the leverage test specified in 16 TAC </w:t>
      </w:r>
      <w:bookmarkStart w:id="5" w:name="_Hlk59192949"/>
      <w:r w:rsidRPr="00A36022">
        <w:rPr>
          <w:rFonts w:ascii="Times New Roman" w:eastAsia="Times New Roman" w:hAnsi="Times New Roman" w:cs="Times New Roman"/>
          <w:sz w:val="24"/>
          <w:szCs w:val="24"/>
        </w:rPr>
        <w:t>§ 24.11(e)(2)(</w:t>
      </w:r>
      <w:r w:rsidR="00B16545" w:rsidRPr="00A36022">
        <w:rPr>
          <w:rFonts w:ascii="Times New Roman" w:eastAsia="Times New Roman" w:hAnsi="Times New Roman" w:cs="Times New Roman"/>
          <w:sz w:val="24"/>
          <w:szCs w:val="24"/>
        </w:rPr>
        <w:t>A</w:t>
      </w:r>
      <w:r w:rsidRPr="00A36022">
        <w:rPr>
          <w:rFonts w:ascii="Times New Roman" w:eastAsia="Times New Roman" w:hAnsi="Times New Roman" w:cs="Times New Roman"/>
          <w:sz w:val="24"/>
          <w:szCs w:val="24"/>
        </w:rPr>
        <w:t>).</w:t>
      </w:r>
      <w:bookmarkEnd w:id="5"/>
      <w:r w:rsidR="00156FAF" w:rsidRPr="00156FAF">
        <w:t xml:space="preserve"> </w:t>
      </w:r>
      <w:r w:rsidR="009B73A8">
        <w:t xml:space="preserve"> </w:t>
      </w:r>
      <w:r w:rsidR="00156FAF" w:rsidRPr="00156FAF">
        <w:rPr>
          <w:rFonts w:ascii="Times New Roman" w:eastAsia="Times New Roman" w:hAnsi="Times New Roman" w:cs="Times New Roman"/>
          <w:sz w:val="24"/>
          <w:szCs w:val="24"/>
        </w:rPr>
        <w:t xml:space="preserve">Therefore, </w:t>
      </w:r>
      <w:r w:rsidR="00014503">
        <w:rPr>
          <w:rFonts w:ascii="Times New Roman" w:eastAsia="Times New Roman" w:hAnsi="Times New Roman" w:cs="Times New Roman"/>
          <w:sz w:val="24"/>
          <w:szCs w:val="24"/>
        </w:rPr>
        <w:t>Undine Development</w:t>
      </w:r>
      <w:r w:rsidR="00156FAF" w:rsidRPr="00156FAF">
        <w:rPr>
          <w:rFonts w:ascii="Times New Roman" w:eastAsia="Times New Roman" w:hAnsi="Times New Roman" w:cs="Times New Roman"/>
          <w:sz w:val="24"/>
          <w:szCs w:val="24"/>
        </w:rPr>
        <w:t xml:space="preserve"> </w:t>
      </w:r>
      <w:r w:rsidR="00D8513D">
        <w:rPr>
          <w:rFonts w:ascii="Times New Roman" w:eastAsia="Times New Roman" w:hAnsi="Times New Roman" w:cs="Times New Roman"/>
          <w:sz w:val="24"/>
          <w:szCs w:val="24"/>
        </w:rPr>
        <w:lastRenderedPageBreak/>
        <w:t xml:space="preserve">through their affiliate, Undine Group, LLC, </w:t>
      </w:r>
      <w:r w:rsidR="00156FAF" w:rsidRPr="00156FAF">
        <w:rPr>
          <w:rFonts w:ascii="Times New Roman" w:eastAsia="Times New Roman" w:hAnsi="Times New Roman" w:cs="Times New Roman"/>
          <w:sz w:val="24"/>
          <w:szCs w:val="24"/>
        </w:rPr>
        <w:t>meet</w:t>
      </w:r>
      <w:r w:rsidR="00014503">
        <w:rPr>
          <w:rFonts w:ascii="Times New Roman" w:eastAsia="Times New Roman" w:hAnsi="Times New Roman" w:cs="Times New Roman"/>
          <w:sz w:val="24"/>
          <w:szCs w:val="24"/>
        </w:rPr>
        <w:t>s</w:t>
      </w:r>
      <w:r w:rsidR="00156FAF" w:rsidRPr="00156FAF">
        <w:rPr>
          <w:rFonts w:ascii="Times New Roman" w:eastAsia="Times New Roman" w:hAnsi="Times New Roman" w:cs="Times New Roman"/>
          <w:sz w:val="24"/>
          <w:szCs w:val="24"/>
        </w:rPr>
        <w:t xml:space="preserve"> the leverage test as specified in </w:t>
      </w:r>
      <w:bookmarkStart w:id="6" w:name="_Hlk107330037"/>
      <w:bookmarkStart w:id="7" w:name="_Hlk107378500"/>
      <w:r w:rsidR="00156FAF" w:rsidRPr="00156FAF">
        <w:rPr>
          <w:rFonts w:ascii="Times New Roman" w:eastAsia="Times New Roman" w:hAnsi="Times New Roman" w:cs="Times New Roman"/>
          <w:sz w:val="24"/>
          <w:szCs w:val="24"/>
        </w:rPr>
        <w:t>16 TAC § 24</w:t>
      </w:r>
      <w:bookmarkEnd w:id="6"/>
      <w:r w:rsidR="00156FAF" w:rsidRPr="00156FAF">
        <w:rPr>
          <w:rFonts w:ascii="Times New Roman" w:eastAsia="Times New Roman" w:hAnsi="Times New Roman" w:cs="Times New Roman"/>
          <w:sz w:val="24"/>
          <w:szCs w:val="24"/>
        </w:rPr>
        <w:t>.11(e)</w:t>
      </w:r>
      <w:bookmarkEnd w:id="7"/>
      <w:r w:rsidR="00156FAF" w:rsidRPr="00156FAF">
        <w:rPr>
          <w:rFonts w:ascii="Times New Roman" w:eastAsia="Times New Roman" w:hAnsi="Times New Roman" w:cs="Times New Roman"/>
          <w:sz w:val="24"/>
          <w:szCs w:val="24"/>
        </w:rPr>
        <w:t>(2)(E).</w:t>
      </w:r>
    </w:p>
    <w:p w14:paraId="2549A2C8" w14:textId="2B3B0E39" w:rsidR="00633003" w:rsidRPr="00FC4C31" w:rsidRDefault="00633003" w:rsidP="00633003">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Operations Test</w:t>
      </w:r>
    </w:p>
    <w:p w14:paraId="2D4D08C2" w14:textId="6D58785E" w:rsidR="005F260C" w:rsidRDefault="00633003" w:rsidP="0034034D">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679AE">
        <w:rPr>
          <w:rFonts w:ascii="Times New Roman" w:eastAsia="Times New Roman" w:hAnsi="Times New Roman" w:cs="Times New Roman"/>
          <w:sz w:val="24"/>
          <w:szCs w:val="24"/>
        </w:rPr>
        <w:t>16 TAC § 24.11(e)(3</w:t>
      </w:r>
      <w:r>
        <w:rPr>
          <w:rFonts w:ascii="Times New Roman" w:eastAsia="Times New Roman" w:hAnsi="Times New Roman" w:cs="Times New Roman"/>
          <w:sz w:val="24"/>
          <w:szCs w:val="24"/>
        </w:rPr>
        <w:t xml:space="preserve">) requires an owner or operator to </w:t>
      </w:r>
      <w:r w:rsidRPr="00633003">
        <w:rPr>
          <w:rFonts w:ascii="Times New Roman" w:eastAsia="Times New Roman" w:hAnsi="Times New Roman" w:cs="Times New Roman"/>
          <w:sz w:val="24"/>
          <w:szCs w:val="24"/>
        </w:rPr>
        <w:t xml:space="preserve">demonstrate sufficient cash is available to cover </w:t>
      </w:r>
      <w:bookmarkStart w:id="8" w:name="_Hlk107379877"/>
      <w:r w:rsidRPr="00633003">
        <w:rPr>
          <w:rFonts w:ascii="Times New Roman" w:eastAsia="Times New Roman" w:hAnsi="Times New Roman" w:cs="Times New Roman"/>
          <w:sz w:val="24"/>
          <w:szCs w:val="24"/>
        </w:rPr>
        <w:t xml:space="preserve">any </w:t>
      </w:r>
      <w:bookmarkStart w:id="9" w:name="_Hlk107333298"/>
      <w:r w:rsidRPr="00633003">
        <w:rPr>
          <w:rFonts w:ascii="Times New Roman" w:eastAsia="Times New Roman" w:hAnsi="Times New Roman" w:cs="Times New Roman"/>
          <w:sz w:val="24"/>
          <w:szCs w:val="24"/>
        </w:rPr>
        <w:t>projected operations and maintenance shortages in the first five years of operations</w:t>
      </w:r>
      <w:bookmarkEnd w:id="8"/>
      <w:bookmarkEnd w:id="9"/>
      <w:r w:rsidR="0034034D">
        <w:rPr>
          <w:rFonts w:ascii="Times New Roman" w:eastAsia="Times New Roman" w:hAnsi="Times New Roman" w:cs="Times New Roman"/>
          <w:sz w:val="24"/>
          <w:szCs w:val="24"/>
        </w:rPr>
        <w:t xml:space="preserve"> </w:t>
      </w:r>
      <w:proofErr w:type="gramStart"/>
      <w:r w:rsidR="0034034D">
        <w:rPr>
          <w:rFonts w:ascii="Times New Roman" w:eastAsia="Times New Roman" w:hAnsi="Times New Roman" w:cs="Times New Roman"/>
          <w:sz w:val="24"/>
          <w:szCs w:val="24"/>
        </w:rPr>
        <w:t>and also</w:t>
      </w:r>
      <w:proofErr w:type="gramEnd"/>
      <w:r w:rsidR="0034034D">
        <w:rPr>
          <w:rFonts w:ascii="Times New Roman" w:eastAsia="Times New Roman" w:hAnsi="Times New Roman" w:cs="Times New Roman"/>
          <w:sz w:val="24"/>
          <w:szCs w:val="24"/>
        </w:rPr>
        <w:t xml:space="preserve"> provides that a</w:t>
      </w:r>
      <w:r w:rsidR="0034034D" w:rsidRPr="0034034D">
        <w:rPr>
          <w:rFonts w:ascii="Times New Roman" w:eastAsia="Times New Roman" w:hAnsi="Times New Roman" w:cs="Times New Roman"/>
          <w:sz w:val="24"/>
          <w:szCs w:val="24"/>
        </w:rPr>
        <w:t>n affiliated interest may provide a written guarantee of coverage of temporary cash shortages</w:t>
      </w:r>
      <w:r w:rsidR="00AD6F77">
        <w:rPr>
          <w:rFonts w:ascii="Times New Roman" w:eastAsia="Times New Roman" w:hAnsi="Times New Roman" w:cs="Times New Roman"/>
          <w:sz w:val="24"/>
          <w:szCs w:val="24"/>
        </w:rPr>
        <w:t>.</w:t>
      </w:r>
    </w:p>
    <w:p w14:paraId="760E9552" w14:textId="5B61F08B" w:rsidR="005F260C" w:rsidRDefault="005F260C" w:rsidP="005F260C">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Undine’s financial projections show that there are no projected cash shortages over the next five years.</w:t>
      </w:r>
      <w:r>
        <w:rPr>
          <w:rStyle w:val="FootnoteReference"/>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rPr>
        <w:t xml:space="preserve"> Therefore,</w:t>
      </w:r>
      <w:r w:rsidRPr="00533AB6">
        <w:rPr>
          <w:rFonts w:ascii="Times New Roman" w:eastAsia="Times New Roman" w:hAnsi="Times New Roman" w:cs="Times New Roman"/>
          <w:sz w:val="24"/>
          <w:szCs w:val="24"/>
        </w:rPr>
        <w:t xml:space="preserve"> I recommend</w:t>
      </w:r>
      <w:r w:rsidRPr="004037C0">
        <w:rPr>
          <w:rFonts w:ascii="Times New Roman" w:eastAsia="Times New Roman" w:hAnsi="Times New Roman" w:cs="Times New Roman"/>
          <w:sz w:val="24"/>
          <w:szCs w:val="24"/>
        </w:rPr>
        <w:t xml:space="preserve"> a finding that </w:t>
      </w:r>
      <w:r>
        <w:rPr>
          <w:rFonts w:ascii="Times New Roman" w:eastAsia="Times New Roman" w:hAnsi="Times New Roman" w:cs="Times New Roman"/>
          <w:sz w:val="24"/>
          <w:szCs w:val="24"/>
        </w:rPr>
        <w:t>Undine</w:t>
      </w:r>
      <w:r w:rsidRPr="004037C0">
        <w:rPr>
          <w:rFonts w:ascii="Times New Roman" w:eastAsia="Times New Roman" w:hAnsi="Times New Roman" w:cs="Times New Roman"/>
          <w:sz w:val="24"/>
          <w:szCs w:val="24"/>
        </w:rPr>
        <w:t xml:space="preserve"> meets the operations test specified in 16 TAC § 24.11(e)(3).</w:t>
      </w:r>
    </w:p>
    <w:p w14:paraId="149F01CC" w14:textId="04587C6F" w:rsidR="00EF57BA" w:rsidRDefault="00EF57BA" w:rsidP="00AD6F77">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Capital Improvement Plan</w:t>
      </w:r>
    </w:p>
    <w:p w14:paraId="3D67B093" w14:textId="77777777" w:rsidR="00635EE0" w:rsidRDefault="00635EE0" w:rsidP="00635EE0">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 applicant who is proposing service to a new CCN area requiring capital improvements </w:t>
      </w:r>
      <w:proofErr w:type="gramStart"/>
      <w:r>
        <w:rPr>
          <w:rFonts w:ascii="Times New Roman" w:eastAsia="Times New Roman" w:hAnsi="Times New Roman" w:cs="Times New Roman"/>
          <w:sz w:val="24"/>
          <w:szCs w:val="24"/>
        </w:rPr>
        <w:t>in excess of</w:t>
      </w:r>
      <w:proofErr w:type="gramEnd"/>
      <w:r>
        <w:rPr>
          <w:rFonts w:ascii="Times New Roman" w:eastAsia="Times New Roman" w:hAnsi="Times New Roman" w:cs="Times New Roman"/>
          <w:sz w:val="24"/>
          <w:szCs w:val="24"/>
        </w:rPr>
        <w:t xml:space="preserve"> $100,000 must provide documents indicating funds are available for the purchase of an existing system plus any improvements, as required by 16 TAC § 24.11(e)(5)(A).</w:t>
      </w:r>
    </w:p>
    <w:p w14:paraId="4DEDC34E" w14:textId="3018DE86" w:rsidR="00635EE0" w:rsidRDefault="00635EE0" w:rsidP="00635EE0">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Undine provided a list of </w:t>
      </w:r>
      <w:r w:rsidR="00D712E8">
        <w:rPr>
          <w:rFonts w:ascii="Times New Roman" w:eastAsia="Times New Roman" w:hAnsi="Times New Roman" w:cs="Times New Roman"/>
          <w:sz w:val="24"/>
          <w:szCs w:val="24"/>
        </w:rPr>
        <w:t>planned capital expenditures</w:t>
      </w:r>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5"/>
      </w:r>
      <w:r>
        <w:rPr>
          <w:rFonts w:ascii="Times New Roman" w:eastAsia="Times New Roman" w:hAnsi="Times New Roman" w:cs="Times New Roman"/>
          <w:sz w:val="24"/>
          <w:szCs w:val="24"/>
        </w:rPr>
        <w:t xml:space="preserve"> Undine has provided loan approval documents demonstrating that funds are available for the purchase price.</w:t>
      </w:r>
      <w:r>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Therefore, I recommend a finding that Undine meets the requirements specified in 16 TAC § 24.11(e)(5)(A). </w:t>
      </w:r>
    </w:p>
    <w:p w14:paraId="6C2CF1F2" w14:textId="26DD58A9" w:rsidR="00AD6F77" w:rsidRPr="00FC4C31" w:rsidRDefault="00AD6F77" w:rsidP="00AD6F77">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Additional Financial Assurance</w:t>
      </w:r>
    </w:p>
    <w:p w14:paraId="134AB0AD" w14:textId="7A36FE4A" w:rsidR="00AD6F77" w:rsidRDefault="00AD6F77" w:rsidP="002F140A">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C32D3" w:rsidRPr="00BC32D3">
        <w:rPr>
          <w:rFonts w:ascii="Times New Roman" w:eastAsia="Times New Roman" w:hAnsi="Times New Roman" w:cs="Times New Roman"/>
          <w:sz w:val="24"/>
          <w:szCs w:val="24"/>
        </w:rPr>
        <w:t>TWC § 13.</w:t>
      </w:r>
      <w:r w:rsidR="00BC32D3">
        <w:rPr>
          <w:rFonts w:ascii="Times New Roman" w:eastAsia="Times New Roman" w:hAnsi="Times New Roman" w:cs="Times New Roman"/>
          <w:sz w:val="24"/>
          <w:szCs w:val="24"/>
        </w:rPr>
        <w:t>301</w:t>
      </w:r>
      <w:r w:rsidR="002F140A">
        <w:rPr>
          <w:rFonts w:ascii="Times New Roman" w:eastAsia="Times New Roman" w:hAnsi="Times New Roman" w:cs="Times New Roman"/>
          <w:sz w:val="24"/>
          <w:szCs w:val="24"/>
        </w:rPr>
        <w:t xml:space="preserve">(d) allows the Commission to require an applicant for a CCN or CCN amendment to provide </w:t>
      </w:r>
      <w:r w:rsidR="002F140A" w:rsidRPr="002F140A">
        <w:rPr>
          <w:rFonts w:ascii="Times New Roman" w:eastAsia="Times New Roman" w:hAnsi="Times New Roman" w:cs="Times New Roman"/>
          <w:sz w:val="24"/>
          <w:szCs w:val="24"/>
        </w:rPr>
        <w:t xml:space="preserve">a bond or other financial assurance in a form and amount specified by the </w:t>
      </w:r>
      <w:r w:rsidR="002F140A">
        <w:rPr>
          <w:rFonts w:ascii="Times New Roman" w:eastAsia="Times New Roman" w:hAnsi="Times New Roman" w:cs="Times New Roman"/>
          <w:sz w:val="24"/>
          <w:szCs w:val="24"/>
        </w:rPr>
        <w:t>Commission</w:t>
      </w:r>
      <w:r w:rsidR="002F140A" w:rsidRPr="002F140A">
        <w:rPr>
          <w:rFonts w:ascii="Times New Roman" w:eastAsia="Times New Roman" w:hAnsi="Times New Roman" w:cs="Times New Roman"/>
          <w:sz w:val="24"/>
          <w:szCs w:val="24"/>
        </w:rPr>
        <w:t xml:space="preserve"> to ensure that continuous and adequate utility service is provided</w:t>
      </w:r>
      <w:r w:rsidR="002F140A">
        <w:rPr>
          <w:rFonts w:ascii="Times New Roman" w:eastAsia="Times New Roman" w:hAnsi="Times New Roman" w:cs="Times New Roman"/>
          <w:sz w:val="24"/>
          <w:szCs w:val="24"/>
        </w:rPr>
        <w:t xml:space="preserve">.  Because the acquiring entities will meet </w:t>
      </w:r>
      <w:r w:rsidR="002F140A" w:rsidRPr="002F140A">
        <w:rPr>
          <w:rFonts w:ascii="Times New Roman" w:eastAsia="Times New Roman" w:hAnsi="Times New Roman" w:cs="Times New Roman"/>
          <w:sz w:val="24"/>
          <w:szCs w:val="24"/>
        </w:rPr>
        <w:t>the financial test in 16 TAC § 24.11(e)</w:t>
      </w:r>
      <w:r w:rsidR="002F140A">
        <w:rPr>
          <w:rFonts w:ascii="Times New Roman" w:eastAsia="Times New Roman" w:hAnsi="Times New Roman" w:cs="Times New Roman"/>
          <w:sz w:val="24"/>
          <w:szCs w:val="24"/>
        </w:rPr>
        <w:t>, I do not recommend that the acquiring entities be required to provide additional financial assurance.</w:t>
      </w:r>
    </w:p>
    <w:p w14:paraId="55EF274E" w14:textId="07EAF6BD" w:rsidR="00F10D07" w:rsidRPr="00FC4C31" w:rsidRDefault="00F10D07" w:rsidP="00F10D07">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Conclusion</w:t>
      </w:r>
    </w:p>
    <w:p w14:paraId="7ABE52B6" w14:textId="724BABAA" w:rsidR="00C74679" w:rsidRPr="00376E5F" w:rsidRDefault="00F10D07" w:rsidP="00F10D07">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A</w:t>
      </w:r>
      <w:r w:rsidR="00EE53F6">
        <w:rPr>
          <w:rFonts w:ascii="Times New Roman" w:hAnsi="Times New Roman" w:cs="Times New Roman"/>
          <w:sz w:val="24"/>
          <w:szCs w:val="24"/>
        </w:rPr>
        <w:t xml:space="preserve">fter the </w:t>
      </w:r>
      <w:r>
        <w:rPr>
          <w:rFonts w:ascii="Times New Roman" w:hAnsi="Times New Roman" w:cs="Times New Roman"/>
          <w:sz w:val="24"/>
          <w:szCs w:val="24"/>
        </w:rPr>
        <w:t xml:space="preserve">filing of the </w:t>
      </w:r>
      <w:r w:rsidR="00EE53F6">
        <w:rPr>
          <w:rFonts w:ascii="Times New Roman" w:hAnsi="Times New Roman" w:cs="Times New Roman"/>
          <w:sz w:val="24"/>
          <w:szCs w:val="24"/>
        </w:rPr>
        <w:t xml:space="preserve">financial guarantees between Undine Group, LLC and the acquiring entities </w:t>
      </w:r>
      <w:r>
        <w:rPr>
          <w:rFonts w:ascii="Times New Roman" w:hAnsi="Times New Roman" w:cs="Times New Roman"/>
          <w:sz w:val="24"/>
          <w:szCs w:val="24"/>
        </w:rPr>
        <w:t xml:space="preserve">and the filing of the affidavit required by </w:t>
      </w:r>
      <w:r w:rsidRPr="00F10D07">
        <w:rPr>
          <w:rFonts w:ascii="Times New Roman" w:hAnsi="Times New Roman" w:cs="Times New Roman"/>
          <w:sz w:val="24"/>
          <w:szCs w:val="24"/>
        </w:rPr>
        <w:t>16 TAC § 24.11(e)</w:t>
      </w:r>
      <w:r>
        <w:rPr>
          <w:rFonts w:ascii="Times New Roman" w:hAnsi="Times New Roman" w:cs="Times New Roman"/>
          <w:sz w:val="24"/>
          <w:szCs w:val="24"/>
        </w:rPr>
        <w:t>(4)(A)</w:t>
      </w:r>
      <w:r w:rsidRPr="00F10D07">
        <w:rPr>
          <w:rFonts w:ascii="Times New Roman" w:hAnsi="Times New Roman" w:cs="Times New Roman"/>
          <w:sz w:val="24"/>
          <w:szCs w:val="24"/>
        </w:rPr>
        <w:t xml:space="preserve"> signed by the </w:t>
      </w:r>
      <w:r>
        <w:rPr>
          <w:rFonts w:ascii="Times New Roman" w:hAnsi="Times New Roman" w:cs="Times New Roman"/>
          <w:sz w:val="24"/>
          <w:szCs w:val="24"/>
        </w:rPr>
        <w:t>acquiring entities attesting</w:t>
      </w:r>
      <w:r w:rsidRPr="00F10D07">
        <w:rPr>
          <w:rFonts w:ascii="Times New Roman" w:hAnsi="Times New Roman" w:cs="Times New Roman"/>
          <w:sz w:val="24"/>
          <w:szCs w:val="24"/>
        </w:rPr>
        <w:t xml:space="preserve"> to the accuracy of the information provided</w:t>
      </w:r>
      <w:r w:rsidR="00EE53F6">
        <w:rPr>
          <w:rFonts w:ascii="Times New Roman" w:hAnsi="Times New Roman" w:cs="Times New Roman"/>
          <w:sz w:val="24"/>
          <w:szCs w:val="24"/>
        </w:rPr>
        <w:t xml:space="preserve">, </w:t>
      </w:r>
      <w:r w:rsidR="00372923" w:rsidRPr="004037C0">
        <w:rPr>
          <w:rFonts w:ascii="Times New Roman" w:hAnsi="Times New Roman" w:cs="Times New Roman"/>
          <w:sz w:val="24"/>
          <w:szCs w:val="24"/>
        </w:rPr>
        <w:t xml:space="preserve">I recommend a finding that </w:t>
      </w:r>
      <w:r w:rsidR="008854D5">
        <w:rPr>
          <w:rFonts w:ascii="Times New Roman" w:hAnsi="Times New Roman" w:cs="Times New Roman"/>
          <w:sz w:val="24"/>
          <w:szCs w:val="24"/>
        </w:rPr>
        <w:t xml:space="preserve">the </w:t>
      </w:r>
      <w:r w:rsidR="008854D5">
        <w:rPr>
          <w:rFonts w:ascii="Times New Roman" w:hAnsi="Times New Roman" w:cs="Times New Roman"/>
          <w:sz w:val="24"/>
          <w:szCs w:val="24"/>
        </w:rPr>
        <w:lastRenderedPageBreak/>
        <w:t>acquiring entities</w:t>
      </w:r>
      <w:r w:rsidR="00605262">
        <w:rPr>
          <w:rFonts w:ascii="Times New Roman" w:hAnsi="Times New Roman" w:cs="Times New Roman"/>
          <w:sz w:val="24"/>
          <w:szCs w:val="24"/>
        </w:rPr>
        <w:t xml:space="preserve"> </w:t>
      </w:r>
      <w:r w:rsidR="00372923" w:rsidRPr="004037C0">
        <w:rPr>
          <w:rFonts w:ascii="Times New Roman" w:hAnsi="Times New Roman" w:cs="Times New Roman"/>
          <w:sz w:val="24"/>
          <w:szCs w:val="24"/>
        </w:rPr>
        <w:t>demonstrate the financial capability needed to provide continuous</w:t>
      </w:r>
      <w:r w:rsidR="00372923" w:rsidRPr="00372923">
        <w:rPr>
          <w:rFonts w:ascii="Times New Roman" w:hAnsi="Times New Roman" w:cs="Times New Roman"/>
          <w:sz w:val="24"/>
          <w:szCs w:val="24"/>
        </w:rPr>
        <w:t xml:space="preserve"> and adequate service to the area subject to this application.  My </w:t>
      </w:r>
      <w:r w:rsidR="00CF230B">
        <w:rPr>
          <w:rFonts w:ascii="Times New Roman" w:hAnsi="Times New Roman" w:cs="Times New Roman"/>
          <w:sz w:val="24"/>
          <w:szCs w:val="24"/>
        </w:rPr>
        <w:t>determinations</w:t>
      </w:r>
      <w:r w:rsidR="00372923" w:rsidRPr="00372923">
        <w:rPr>
          <w:rFonts w:ascii="Times New Roman" w:hAnsi="Times New Roman" w:cs="Times New Roman"/>
          <w:sz w:val="24"/>
          <w:szCs w:val="24"/>
        </w:rPr>
        <w:t xml:space="preserve"> are based on information </w:t>
      </w:r>
      <w:r w:rsidR="00EE53F6">
        <w:rPr>
          <w:rFonts w:ascii="Times New Roman" w:hAnsi="Times New Roman" w:cs="Times New Roman"/>
          <w:sz w:val="24"/>
          <w:szCs w:val="24"/>
        </w:rPr>
        <w:t>for</w:t>
      </w:r>
      <w:r w:rsidR="00372923" w:rsidRPr="00372923">
        <w:rPr>
          <w:rFonts w:ascii="Times New Roman" w:hAnsi="Times New Roman" w:cs="Times New Roman"/>
          <w:sz w:val="24"/>
          <w:szCs w:val="24"/>
        </w:rPr>
        <w:t xml:space="preserve"> </w:t>
      </w:r>
      <w:r w:rsidR="00607086">
        <w:rPr>
          <w:rFonts w:ascii="Times New Roman" w:hAnsi="Times New Roman" w:cs="Times New Roman"/>
          <w:sz w:val="24"/>
          <w:szCs w:val="24"/>
        </w:rPr>
        <w:t>Undine</w:t>
      </w:r>
      <w:r w:rsidR="00372923" w:rsidRPr="00372923">
        <w:rPr>
          <w:rFonts w:ascii="Times New Roman" w:hAnsi="Times New Roman" w:cs="Times New Roman"/>
          <w:sz w:val="24"/>
          <w:szCs w:val="24"/>
        </w:rPr>
        <w:t xml:space="preserve"> </w:t>
      </w:r>
      <w:r w:rsidR="00EE53F6">
        <w:rPr>
          <w:rFonts w:ascii="Times New Roman" w:hAnsi="Times New Roman" w:cs="Times New Roman"/>
          <w:sz w:val="24"/>
          <w:szCs w:val="24"/>
        </w:rPr>
        <w:t>Group, LLC as of the date specified above and therefore does not reflect any changes after that date</w:t>
      </w:r>
      <w:r w:rsidR="00372923" w:rsidRPr="00372923">
        <w:rPr>
          <w:rFonts w:ascii="Times New Roman" w:hAnsi="Times New Roman" w:cs="Times New Roman"/>
          <w:sz w:val="24"/>
          <w:szCs w:val="24"/>
        </w:rPr>
        <w:t>.</w:t>
      </w:r>
    </w:p>
    <w:sectPr w:rsidR="00C74679" w:rsidRPr="00376E5F" w:rsidSect="00DC0A57">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3FA13" w14:textId="77777777" w:rsidR="00D12B4B" w:rsidRDefault="00D12B4B" w:rsidP="003E3FA5">
      <w:pPr>
        <w:spacing w:after="0" w:line="240" w:lineRule="auto"/>
      </w:pPr>
      <w:r>
        <w:separator/>
      </w:r>
    </w:p>
  </w:endnote>
  <w:endnote w:type="continuationSeparator" w:id="0">
    <w:p w14:paraId="455F8835" w14:textId="77777777" w:rsidR="00D12B4B" w:rsidRDefault="00D12B4B"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6A5B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6A5BEE">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44BD0" w14:textId="77777777" w:rsidR="00D12B4B" w:rsidRDefault="00D12B4B" w:rsidP="003E3FA5">
      <w:pPr>
        <w:spacing w:after="0" w:line="240" w:lineRule="auto"/>
      </w:pPr>
      <w:r>
        <w:separator/>
      </w:r>
    </w:p>
  </w:footnote>
  <w:footnote w:type="continuationSeparator" w:id="0">
    <w:p w14:paraId="60B5E66F" w14:textId="77777777" w:rsidR="00D12B4B" w:rsidRDefault="00D12B4B" w:rsidP="003E3FA5">
      <w:pPr>
        <w:spacing w:after="0" w:line="240" w:lineRule="auto"/>
      </w:pPr>
      <w:r>
        <w:continuationSeparator/>
      </w:r>
    </w:p>
  </w:footnote>
  <w:footnote w:id="1">
    <w:p w14:paraId="78BBACBC" w14:textId="4CDCAEE7" w:rsidR="00920A97" w:rsidRPr="000829AF" w:rsidRDefault="00920A97" w:rsidP="005F260C">
      <w:pPr>
        <w:pStyle w:val="FootnoteText"/>
        <w:spacing w:after="120"/>
        <w:ind w:firstLine="720"/>
        <w:jc w:val="both"/>
      </w:pPr>
      <w:r>
        <w:rPr>
          <w:rStyle w:val="FootnoteReference"/>
        </w:rPr>
        <w:footnoteRef/>
      </w:r>
      <w:r>
        <w:t xml:space="preserve">  </w:t>
      </w:r>
      <w:r w:rsidR="00014503">
        <w:t xml:space="preserve">Application, </w:t>
      </w:r>
      <w:r w:rsidR="00014503">
        <w:rPr>
          <w:i/>
          <w:iCs/>
        </w:rPr>
        <w:t xml:space="preserve">Confidential Exhibit </w:t>
      </w:r>
      <w:proofErr w:type="gramStart"/>
      <w:r w:rsidR="00014503">
        <w:rPr>
          <w:i/>
          <w:iCs/>
        </w:rPr>
        <w:t>A  –</w:t>
      </w:r>
      <w:proofErr w:type="gramEnd"/>
      <w:r w:rsidR="00014503">
        <w:rPr>
          <w:i/>
          <w:iCs/>
        </w:rPr>
        <w:t xml:space="preserve"> Financial Information</w:t>
      </w:r>
      <w:r w:rsidR="00014503">
        <w:t>, item no. 41, at bates 37 (Apr. 29, 2022).</w:t>
      </w:r>
    </w:p>
  </w:footnote>
  <w:footnote w:id="2">
    <w:p w14:paraId="55361C4B" w14:textId="27790AFB" w:rsidR="00607086" w:rsidRPr="000829AF" w:rsidRDefault="00607086" w:rsidP="005F260C">
      <w:pPr>
        <w:pStyle w:val="FootnoteText"/>
        <w:spacing w:after="120"/>
        <w:ind w:firstLine="720"/>
        <w:jc w:val="both"/>
      </w:pPr>
      <w:r>
        <w:rPr>
          <w:rStyle w:val="FootnoteReference"/>
        </w:rPr>
        <w:footnoteRef/>
      </w:r>
      <w:r>
        <w:t xml:space="preserve">  </w:t>
      </w:r>
      <w:r w:rsidR="00A148F0">
        <w:rPr>
          <w:i/>
          <w:iCs/>
        </w:rPr>
        <w:t>Id.</w:t>
      </w:r>
    </w:p>
  </w:footnote>
  <w:footnote w:id="3">
    <w:p w14:paraId="00A99FC7" w14:textId="53E2E77F" w:rsidR="002B55D4" w:rsidRDefault="002B55D4" w:rsidP="005F260C">
      <w:pPr>
        <w:pStyle w:val="FootnoteText"/>
        <w:spacing w:after="120"/>
        <w:ind w:firstLine="720"/>
        <w:jc w:val="both"/>
      </w:pPr>
      <w:r>
        <w:rPr>
          <w:rStyle w:val="FootnoteReference"/>
        </w:rPr>
        <w:footnoteRef/>
      </w:r>
      <w:r>
        <w:t xml:space="preserve"> </w:t>
      </w:r>
      <w:r w:rsidR="00973928">
        <w:t xml:space="preserve"> </w:t>
      </w:r>
      <w:bookmarkStart w:id="4" w:name="_Hlk107332613"/>
      <w:r w:rsidR="00F94CEA">
        <w:rPr>
          <w:i/>
          <w:iCs/>
        </w:rPr>
        <w:t>Id.</w:t>
      </w:r>
      <w:bookmarkEnd w:id="4"/>
      <w:r w:rsidR="00CF1DAB">
        <w:t xml:space="preserve">, at </w:t>
      </w:r>
      <w:r w:rsidR="0015448B">
        <w:t>8</w:t>
      </w:r>
      <w:r w:rsidR="00CF1DAB">
        <w:t xml:space="preserve">. </w:t>
      </w:r>
      <w:r w:rsidR="00F2273A">
        <w:t xml:space="preserve">The calculations for which can be found in confidential Attachment EB-1. </w:t>
      </w:r>
    </w:p>
  </w:footnote>
  <w:footnote w:id="4">
    <w:p w14:paraId="5755EFB8" w14:textId="0585310B" w:rsidR="005F260C" w:rsidRPr="005F260C" w:rsidRDefault="005F260C" w:rsidP="005F260C">
      <w:pPr>
        <w:pStyle w:val="FootnoteText"/>
        <w:spacing w:after="120"/>
        <w:ind w:firstLine="720"/>
        <w:jc w:val="both"/>
        <w:rPr>
          <w:i/>
          <w:iCs/>
        </w:rPr>
      </w:pPr>
      <w:r>
        <w:rPr>
          <w:rStyle w:val="FootnoteReference"/>
        </w:rPr>
        <w:footnoteRef/>
      </w:r>
      <w:r>
        <w:t xml:space="preserve">  Application, Confidential- Attachment H- Financial Information, item no. 6, at bates 6 (Nov. 17, 2021)</w:t>
      </w:r>
    </w:p>
  </w:footnote>
  <w:footnote w:id="5">
    <w:p w14:paraId="4D21ACE4" w14:textId="03704B1E" w:rsidR="00635EE0" w:rsidRDefault="00635EE0" w:rsidP="005F260C">
      <w:pPr>
        <w:pStyle w:val="FootnoteText"/>
        <w:spacing w:after="120"/>
        <w:ind w:firstLine="720"/>
        <w:jc w:val="both"/>
      </w:pPr>
      <w:r>
        <w:rPr>
          <w:rStyle w:val="FootnoteReference"/>
        </w:rPr>
        <w:footnoteRef/>
      </w:r>
      <w:r>
        <w:t xml:space="preserve">  Application, </w:t>
      </w:r>
      <w:r>
        <w:rPr>
          <w:i/>
          <w:iCs/>
        </w:rPr>
        <w:t xml:space="preserve">Confidential </w:t>
      </w:r>
      <w:r w:rsidR="009A1A07">
        <w:rPr>
          <w:i/>
          <w:iCs/>
        </w:rPr>
        <w:t>Applicant’s Supplemental Information (Attachment A – Highly Sensitive)</w:t>
      </w:r>
      <w:r>
        <w:t xml:space="preserve">, item no. </w:t>
      </w:r>
      <w:r w:rsidR="009A1A07">
        <w:t>5</w:t>
      </w:r>
      <w:r>
        <w:t xml:space="preserve">2, at bates </w:t>
      </w:r>
      <w:r w:rsidR="009A1A07">
        <w:t>3</w:t>
      </w:r>
      <w:r>
        <w:t xml:space="preserve"> (</w:t>
      </w:r>
      <w:r w:rsidR="009A1A07">
        <w:t>Jun. 14</w:t>
      </w:r>
      <w:r>
        <w:t>, 2022).</w:t>
      </w:r>
    </w:p>
  </w:footnote>
  <w:footnote w:id="6">
    <w:p w14:paraId="1FF27C19" w14:textId="75D025C8" w:rsidR="00635EE0" w:rsidRDefault="00635EE0" w:rsidP="005F260C">
      <w:pPr>
        <w:pStyle w:val="FootnoteText"/>
        <w:spacing w:after="120"/>
        <w:ind w:firstLine="720"/>
        <w:jc w:val="both"/>
      </w:pPr>
      <w:r>
        <w:rPr>
          <w:rStyle w:val="FootnoteReference"/>
        </w:rPr>
        <w:footnoteRef/>
      </w:r>
      <w:r>
        <w:t xml:space="preserve">  </w:t>
      </w:r>
      <w:r w:rsidR="006D6BBF">
        <w:t>The calculations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130D99BB" w:rsidR="00195A79" w:rsidRPr="002E015F" w:rsidRDefault="00363697" w:rsidP="0099083B">
    <w:pPr>
      <w:pStyle w:val="Header"/>
      <w:spacing w:after="240"/>
      <w:jc w:val="right"/>
      <w:rPr>
        <w:b/>
      </w:rPr>
    </w:pPr>
    <w:r w:rsidRPr="002E015F">
      <w:rPr>
        <w:b/>
      </w:rPr>
      <w:t xml:space="preserve">Docket No. </w:t>
    </w:r>
    <w:r w:rsidR="00D712E8">
      <w:rPr>
        <w:b/>
      </w:rPr>
      <w:t>52852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D66049"/>
    <w:multiLevelType w:val="hybridMultilevel"/>
    <w:tmpl w:val="8F3A0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14503"/>
    <w:rsid w:val="00026621"/>
    <w:rsid w:val="00060609"/>
    <w:rsid w:val="000654D3"/>
    <w:rsid w:val="000704E9"/>
    <w:rsid w:val="000829AF"/>
    <w:rsid w:val="00084EAF"/>
    <w:rsid w:val="0009457B"/>
    <w:rsid w:val="000F0261"/>
    <w:rsid w:val="001102DB"/>
    <w:rsid w:val="0013261C"/>
    <w:rsid w:val="00133D92"/>
    <w:rsid w:val="001425B8"/>
    <w:rsid w:val="00142C3B"/>
    <w:rsid w:val="00147CE5"/>
    <w:rsid w:val="0015448B"/>
    <w:rsid w:val="00156FAF"/>
    <w:rsid w:val="00163268"/>
    <w:rsid w:val="00171E2D"/>
    <w:rsid w:val="00172BD8"/>
    <w:rsid w:val="00174B7C"/>
    <w:rsid w:val="00183793"/>
    <w:rsid w:val="00186B52"/>
    <w:rsid w:val="001A1026"/>
    <w:rsid w:val="001B1F78"/>
    <w:rsid w:val="002057AA"/>
    <w:rsid w:val="002149AE"/>
    <w:rsid w:val="00234915"/>
    <w:rsid w:val="00256BA8"/>
    <w:rsid w:val="00262C3A"/>
    <w:rsid w:val="00267B90"/>
    <w:rsid w:val="00284379"/>
    <w:rsid w:val="002B55D4"/>
    <w:rsid w:val="002C5914"/>
    <w:rsid w:val="002D14B4"/>
    <w:rsid w:val="002F006B"/>
    <w:rsid w:val="002F140A"/>
    <w:rsid w:val="0034034D"/>
    <w:rsid w:val="003521B1"/>
    <w:rsid w:val="00363697"/>
    <w:rsid w:val="00372923"/>
    <w:rsid w:val="00376E5F"/>
    <w:rsid w:val="0038076D"/>
    <w:rsid w:val="003829B2"/>
    <w:rsid w:val="003C1F2C"/>
    <w:rsid w:val="003D0026"/>
    <w:rsid w:val="003E3FA5"/>
    <w:rsid w:val="004037C0"/>
    <w:rsid w:val="0041319D"/>
    <w:rsid w:val="004412BD"/>
    <w:rsid w:val="00446D9B"/>
    <w:rsid w:val="00455C93"/>
    <w:rsid w:val="00464080"/>
    <w:rsid w:val="004722B4"/>
    <w:rsid w:val="00495DA2"/>
    <w:rsid w:val="004C3AC9"/>
    <w:rsid w:val="00505F11"/>
    <w:rsid w:val="00507470"/>
    <w:rsid w:val="00512787"/>
    <w:rsid w:val="005233CE"/>
    <w:rsid w:val="00533AB6"/>
    <w:rsid w:val="00580C96"/>
    <w:rsid w:val="00591472"/>
    <w:rsid w:val="005C50C8"/>
    <w:rsid w:val="005D3A89"/>
    <w:rsid w:val="005E707D"/>
    <w:rsid w:val="005F260C"/>
    <w:rsid w:val="005F448C"/>
    <w:rsid w:val="00605262"/>
    <w:rsid w:val="00605F63"/>
    <w:rsid w:val="0060685B"/>
    <w:rsid w:val="00607086"/>
    <w:rsid w:val="0063274E"/>
    <w:rsid w:val="00633003"/>
    <w:rsid w:val="00635BC4"/>
    <w:rsid w:val="00635EE0"/>
    <w:rsid w:val="0063674A"/>
    <w:rsid w:val="00636D72"/>
    <w:rsid w:val="00660C9F"/>
    <w:rsid w:val="00677BA9"/>
    <w:rsid w:val="00683151"/>
    <w:rsid w:val="006A5BEE"/>
    <w:rsid w:val="006B6D0E"/>
    <w:rsid w:val="006D6BBF"/>
    <w:rsid w:val="006E6ACF"/>
    <w:rsid w:val="006F5466"/>
    <w:rsid w:val="00746FEF"/>
    <w:rsid w:val="007700A2"/>
    <w:rsid w:val="00792257"/>
    <w:rsid w:val="007A52B3"/>
    <w:rsid w:val="007B24DC"/>
    <w:rsid w:val="007C2EF0"/>
    <w:rsid w:val="007D0A6F"/>
    <w:rsid w:val="00816F11"/>
    <w:rsid w:val="00852F19"/>
    <w:rsid w:val="00873CE1"/>
    <w:rsid w:val="008854D5"/>
    <w:rsid w:val="00891293"/>
    <w:rsid w:val="008B33EA"/>
    <w:rsid w:val="008D2981"/>
    <w:rsid w:val="00902CAA"/>
    <w:rsid w:val="00920A97"/>
    <w:rsid w:val="00943090"/>
    <w:rsid w:val="00961A50"/>
    <w:rsid w:val="00973928"/>
    <w:rsid w:val="009979BD"/>
    <w:rsid w:val="009A1A07"/>
    <w:rsid w:val="009B73A8"/>
    <w:rsid w:val="009B7AB7"/>
    <w:rsid w:val="009D0BD0"/>
    <w:rsid w:val="009E2F28"/>
    <w:rsid w:val="00A148F0"/>
    <w:rsid w:val="00A173E8"/>
    <w:rsid w:val="00A36022"/>
    <w:rsid w:val="00A42084"/>
    <w:rsid w:val="00AD6F77"/>
    <w:rsid w:val="00AE31AA"/>
    <w:rsid w:val="00AE4987"/>
    <w:rsid w:val="00B078F0"/>
    <w:rsid w:val="00B1474B"/>
    <w:rsid w:val="00B16545"/>
    <w:rsid w:val="00B4141A"/>
    <w:rsid w:val="00B44970"/>
    <w:rsid w:val="00B52332"/>
    <w:rsid w:val="00B80625"/>
    <w:rsid w:val="00B95E16"/>
    <w:rsid w:val="00BA5465"/>
    <w:rsid w:val="00BC32D3"/>
    <w:rsid w:val="00BF176F"/>
    <w:rsid w:val="00C011C1"/>
    <w:rsid w:val="00C0242A"/>
    <w:rsid w:val="00C16C4F"/>
    <w:rsid w:val="00C52ABD"/>
    <w:rsid w:val="00C742F7"/>
    <w:rsid w:val="00C74679"/>
    <w:rsid w:val="00CA03DC"/>
    <w:rsid w:val="00CE27EF"/>
    <w:rsid w:val="00CE7231"/>
    <w:rsid w:val="00CF1DAB"/>
    <w:rsid w:val="00CF230B"/>
    <w:rsid w:val="00D12B4B"/>
    <w:rsid w:val="00D21315"/>
    <w:rsid w:val="00D23007"/>
    <w:rsid w:val="00D52DC0"/>
    <w:rsid w:val="00D712E8"/>
    <w:rsid w:val="00D72AAB"/>
    <w:rsid w:val="00D73FFD"/>
    <w:rsid w:val="00D8513D"/>
    <w:rsid w:val="00D9105A"/>
    <w:rsid w:val="00DA6F5D"/>
    <w:rsid w:val="00DB74FA"/>
    <w:rsid w:val="00DC0C01"/>
    <w:rsid w:val="00DF2DD2"/>
    <w:rsid w:val="00E020C6"/>
    <w:rsid w:val="00E054DD"/>
    <w:rsid w:val="00E2124C"/>
    <w:rsid w:val="00E323E1"/>
    <w:rsid w:val="00E349EA"/>
    <w:rsid w:val="00E679AE"/>
    <w:rsid w:val="00E77030"/>
    <w:rsid w:val="00EB5F20"/>
    <w:rsid w:val="00EC1E0E"/>
    <w:rsid w:val="00EC50BC"/>
    <w:rsid w:val="00EE489A"/>
    <w:rsid w:val="00EE53F6"/>
    <w:rsid w:val="00EF16C0"/>
    <w:rsid w:val="00EF2CA2"/>
    <w:rsid w:val="00EF3F05"/>
    <w:rsid w:val="00EF57BA"/>
    <w:rsid w:val="00F10D07"/>
    <w:rsid w:val="00F21E89"/>
    <w:rsid w:val="00F2273A"/>
    <w:rsid w:val="00F31861"/>
    <w:rsid w:val="00F33D34"/>
    <w:rsid w:val="00F40C0B"/>
    <w:rsid w:val="00F50AB7"/>
    <w:rsid w:val="00F554E5"/>
    <w:rsid w:val="00F64E57"/>
    <w:rsid w:val="00F65A84"/>
    <w:rsid w:val="00F76498"/>
    <w:rsid w:val="00F76E07"/>
    <w:rsid w:val="00F81C5D"/>
    <w:rsid w:val="00F94734"/>
    <w:rsid w:val="00F94CEA"/>
    <w:rsid w:val="00FA4D96"/>
    <w:rsid w:val="00FC15FD"/>
    <w:rsid w:val="00FC2566"/>
    <w:rsid w:val="00FD1E5A"/>
    <w:rsid w:val="00FE67C2"/>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174B7C"/>
    <w:rPr>
      <w:color w:val="0563C1" w:themeColor="hyperlink"/>
      <w:u w:val="single"/>
    </w:rPr>
  </w:style>
  <w:style w:type="character" w:styleId="UnresolvedMention">
    <w:name w:val="Unresolved Mention"/>
    <w:basedOn w:val="DefaultParagraphFont"/>
    <w:uiPriority w:val="99"/>
    <w:semiHidden/>
    <w:unhideWhenUsed/>
    <w:rsid w:val="00174B7C"/>
    <w:rPr>
      <w:color w:val="605E5C"/>
      <w:shd w:val="clear" w:color="auto" w:fill="E1DFDD"/>
    </w:rPr>
  </w:style>
  <w:style w:type="character" w:styleId="CommentReference">
    <w:name w:val="annotation reference"/>
    <w:basedOn w:val="DefaultParagraphFont"/>
    <w:uiPriority w:val="99"/>
    <w:semiHidden/>
    <w:unhideWhenUsed/>
    <w:rsid w:val="00F31861"/>
    <w:rPr>
      <w:sz w:val="16"/>
      <w:szCs w:val="16"/>
    </w:rPr>
  </w:style>
  <w:style w:type="paragraph" w:styleId="CommentText">
    <w:name w:val="annotation text"/>
    <w:basedOn w:val="Normal"/>
    <w:link w:val="CommentTextChar"/>
    <w:uiPriority w:val="99"/>
    <w:semiHidden/>
    <w:unhideWhenUsed/>
    <w:rsid w:val="00F31861"/>
    <w:pPr>
      <w:spacing w:line="240" w:lineRule="auto"/>
    </w:pPr>
    <w:rPr>
      <w:sz w:val="20"/>
      <w:szCs w:val="20"/>
    </w:rPr>
  </w:style>
  <w:style w:type="character" w:customStyle="1" w:styleId="CommentTextChar">
    <w:name w:val="Comment Text Char"/>
    <w:basedOn w:val="DefaultParagraphFont"/>
    <w:link w:val="CommentText"/>
    <w:uiPriority w:val="99"/>
    <w:semiHidden/>
    <w:rsid w:val="00F31861"/>
    <w:rPr>
      <w:sz w:val="20"/>
      <w:szCs w:val="20"/>
    </w:rPr>
  </w:style>
  <w:style w:type="paragraph" w:styleId="CommentSubject">
    <w:name w:val="annotation subject"/>
    <w:basedOn w:val="CommentText"/>
    <w:next w:val="CommentText"/>
    <w:link w:val="CommentSubjectChar"/>
    <w:uiPriority w:val="99"/>
    <w:semiHidden/>
    <w:unhideWhenUsed/>
    <w:rsid w:val="00F31861"/>
    <w:rPr>
      <w:b/>
      <w:bCs/>
    </w:rPr>
  </w:style>
  <w:style w:type="character" w:customStyle="1" w:styleId="CommentSubjectChar">
    <w:name w:val="Comment Subject Char"/>
    <w:basedOn w:val="CommentTextChar"/>
    <w:link w:val="CommentSubject"/>
    <w:uiPriority w:val="99"/>
    <w:semiHidden/>
    <w:rsid w:val="00F31861"/>
    <w:rPr>
      <w:b/>
      <w:bCs/>
      <w:sz w:val="20"/>
      <w:szCs w:val="20"/>
    </w:rPr>
  </w:style>
  <w:style w:type="paragraph" w:styleId="ListParagraph">
    <w:name w:val="List Paragraph"/>
    <w:basedOn w:val="Normal"/>
    <w:uiPriority w:val="34"/>
    <w:qFormat/>
    <w:rsid w:val="00186B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155">
      <w:bodyDiv w:val="1"/>
      <w:marLeft w:val="0"/>
      <w:marRight w:val="0"/>
      <w:marTop w:val="0"/>
      <w:marBottom w:val="0"/>
      <w:divBdr>
        <w:top w:val="none" w:sz="0" w:space="0" w:color="auto"/>
        <w:left w:val="none" w:sz="0" w:space="0" w:color="auto"/>
        <w:bottom w:val="none" w:sz="0" w:space="0" w:color="auto"/>
        <w:right w:val="none" w:sz="0" w:space="0" w:color="auto"/>
      </w:divBdr>
    </w:div>
    <w:div w:id="611011716">
      <w:bodyDiv w:val="1"/>
      <w:marLeft w:val="0"/>
      <w:marRight w:val="0"/>
      <w:marTop w:val="0"/>
      <w:marBottom w:val="0"/>
      <w:divBdr>
        <w:top w:val="none" w:sz="0" w:space="0" w:color="auto"/>
        <w:left w:val="none" w:sz="0" w:space="0" w:color="auto"/>
        <w:bottom w:val="none" w:sz="0" w:space="0" w:color="auto"/>
        <w:right w:val="none" w:sz="0" w:space="0" w:color="auto"/>
      </w:divBdr>
    </w:div>
    <w:div w:id="795635577">
      <w:bodyDiv w:val="1"/>
      <w:marLeft w:val="0"/>
      <w:marRight w:val="0"/>
      <w:marTop w:val="0"/>
      <w:marBottom w:val="0"/>
      <w:divBdr>
        <w:top w:val="none" w:sz="0" w:space="0" w:color="auto"/>
        <w:left w:val="none" w:sz="0" w:space="0" w:color="auto"/>
        <w:bottom w:val="none" w:sz="0" w:space="0" w:color="auto"/>
        <w:right w:val="none" w:sz="0" w:space="0" w:color="auto"/>
      </w:divBdr>
    </w:div>
    <w:div w:id="126288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958</Words>
  <Characters>5461</Characters>
  <Application>Microsoft Office Word</Application>
  <DocSecurity>0</DocSecurity>
  <Lines>45</Lines>
  <Paragraphs>12</Paragraphs>
  <ScaleCrop>false</ScaleCrop>
  <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2022-09-28T19:01:00Z</dcterms:created>
  <dcterms:modified xsi:type="dcterms:W3CDTF">2022-09-28T19:01:00Z</dcterms:modified>
</cp:coreProperties>
</file>